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E56EFB" w:rsidTr="00E56EFB">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9026"/>
            </w:tblGrid>
            <w:tr w:rsidR="00E56EF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E56EFB">
                    <w:tc>
                      <w:tcPr>
                        <w:tcW w:w="0" w:type="auto"/>
                        <w:vAlign w:val="center"/>
                        <w:hideMark/>
                      </w:tcPr>
                      <w:tbl>
                        <w:tblPr>
                          <w:tblW w:w="5000" w:type="pct"/>
                          <w:tblCellMar>
                            <w:left w:w="0" w:type="dxa"/>
                            <w:right w:w="0" w:type="dxa"/>
                          </w:tblCellMar>
                          <w:tblLook w:val="04A0" w:firstRow="1" w:lastRow="0" w:firstColumn="1" w:lastColumn="0" w:noHBand="0" w:noVBand="1"/>
                        </w:tblPr>
                        <w:tblGrid>
                          <w:gridCol w:w="9021"/>
                          <w:gridCol w:w="5"/>
                        </w:tblGrid>
                        <w:tr w:rsidR="00E56EFB">
                          <w:trPr>
                            <w:trHeight w:val="525"/>
                          </w:trPr>
                          <w:tc>
                            <w:tcPr>
                              <w:tcW w:w="0" w:type="auto"/>
                              <w:gridSpan w:val="2"/>
                              <w:vAlign w:val="center"/>
                              <w:hideMark/>
                            </w:tcPr>
                            <w:p w:rsidR="00E56EFB" w:rsidRDefault="00E56EFB" w:rsidP="00E56EFB">
                              <w:pPr>
                                <w:jc w:val="right"/>
                                <w:rPr>
                                  <w:rFonts w:ascii="Arial" w:hAnsi="Arial" w:cs="Arial"/>
                                  <w:color w:val="0072C6"/>
                                  <w:sz w:val="36"/>
                                  <w:szCs w:val="36"/>
                                </w:rPr>
                              </w:pPr>
                              <w:r>
                                <w:rPr>
                                  <w:rFonts w:ascii="Arial" w:hAnsi="Arial" w:cs="Arial"/>
                                  <w:noProof/>
                                  <w:color w:val="0072C6"/>
                                  <w:sz w:val="36"/>
                                  <w:szCs w:val="36"/>
                                </w:rPr>
                                <w:drawing>
                                  <wp:inline distT="0" distB="0" distL="0" distR="0" wp14:anchorId="7DBD07B1" wp14:editId="57DD0E81">
                                    <wp:extent cx="7620" cy="336550"/>
                                    <wp:effectExtent l="0" t="0" r="0" b="0"/>
                                    <wp:docPr id="3" name="Picture 3" descr="http://t.contentsvr.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ontentsvr.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36550"/>
                                            </a:xfrm>
                                            <a:prstGeom prst="rect">
                                              <a:avLst/>
                                            </a:prstGeom>
                                            <a:noFill/>
                                            <a:ln>
                                              <a:noFill/>
                                            </a:ln>
                                          </pic:spPr>
                                        </pic:pic>
                                      </a:graphicData>
                                    </a:graphic>
                                  </wp:inline>
                                </w:drawing>
                              </w:r>
                              <w:r>
                                <w:rPr>
                                  <w:rFonts w:ascii="Arial" w:hAnsi="Arial" w:cs="Arial"/>
                                  <w:noProof/>
                                  <w:color w:val="0072C6"/>
                                  <w:sz w:val="36"/>
                                  <w:szCs w:val="36"/>
                                </w:rPr>
                                <w:drawing>
                                  <wp:inline distT="0" distB="0" distL="0" distR="0" wp14:anchorId="7FFA8A50" wp14:editId="49992303">
                                    <wp:extent cx="899769" cy="591967"/>
                                    <wp:effectExtent l="0" t="0" r="0" b="0"/>
                                    <wp:docPr id="2" name="Picture 2" descr="http://f.datasrvr.com/f1/716/2153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atasrvr.com/f1/716/2153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57" cy="591959"/>
                                            </a:xfrm>
                                            <a:prstGeom prst="rect">
                                              <a:avLst/>
                                            </a:prstGeom>
                                            <a:noFill/>
                                            <a:ln>
                                              <a:noFill/>
                                            </a:ln>
                                          </pic:spPr>
                                        </pic:pic>
                                      </a:graphicData>
                                    </a:graphic>
                                  </wp:inline>
                                </w:drawing>
                              </w:r>
                            </w:p>
                          </w:tc>
                        </w:tr>
                        <w:tr w:rsidR="00E56EFB">
                          <w:tc>
                            <w:tcPr>
                              <w:tcW w:w="0" w:type="auto"/>
                              <w:vAlign w:val="center"/>
                              <w:hideMark/>
                            </w:tcPr>
                            <w:tbl>
                              <w:tblPr>
                                <w:tblW w:w="10012" w:type="dxa"/>
                                <w:tblCellMar>
                                  <w:left w:w="0" w:type="dxa"/>
                                  <w:right w:w="0" w:type="dxa"/>
                                </w:tblCellMar>
                                <w:tblLook w:val="04A0" w:firstRow="1" w:lastRow="0" w:firstColumn="1" w:lastColumn="0" w:noHBand="0" w:noVBand="1"/>
                              </w:tblPr>
                              <w:tblGrid>
                                <w:gridCol w:w="7677"/>
                                <w:gridCol w:w="2335"/>
                              </w:tblGrid>
                              <w:tr w:rsidR="00E56EFB" w:rsidTr="00E56EFB">
                                <w:trPr>
                                  <w:trHeight w:val="270"/>
                                </w:trPr>
                                <w:tc>
                                  <w:tcPr>
                                    <w:tcW w:w="0" w:type="auto"/>
                                    <w:vAlign w:val="center"/>
                                    <w:hideMark/>
                                  </w:tcPr>
                                  <w:p w:rsidR="00E56EFB" w:rsidRDefault="00E56EFB">
                                    <w:pPr>
                                      <w:rPr>
                                        <w:rFonts w:ascii="Arial" w:hAnsi="Arial" w:cs="Arial"/>
                                        <w:color w:val="0072C6"/>
                                        <w:sz w:val="36"/>
                                        <w:szCs w:val="36"/>
                                      </w:rPr>
                                    </w:pPr>
                                    <w:r>
                                      <w:rPr>
                                        <w:rStyle w:val="Strong"/>
                                        <w:rFonts w:ascii="Arial" w:hAnsi="Arial" w:cs="Arial"/>
                                        <w:color w:val="0072C6"/>
                                        <w:sz w:val="36"/>
                                        <w:szCs w:val="36"/>
                                      </w:rPr>
                                      <w:t>Primary Care Support England</w:t>
                                    </w:r>
                                  </w:p>
                                </w:tc>
                                <w:tc>
                                  <w:tcPr>
                                    <w:tcW w:w="1166" w:type="pct"/>
                                    <w:vAlign w:val="center"/>
                                    <w:hideMark/>
                                  </w:tcPr>
                                  <w:p w:rsidR="00E56EFB" w:rsidRDefault="00E56EFB">
                                    <w:pPr>
                                      <w:jc w:val="right"/>
                                      <w:rPr>
                                        <w:rFonts w:ascii="Arial" w:hAnsi="Arial" w:cs="Arial"/>
                                        <w:color w:val="0072C6"/>
                                        <w:sz w:val="36"/>
                                        <w:szCs w:val="36"/>
                                      </w:rPr>
                                    </w:pPr>
                                  </w:p>
                                </w:tc>
                              </w:tr>
                            </w:tbl>
                            <w:p w:rsidR="00E56EFB" w:rsidRDefault="00E56EFB">
                              <w:pPr>
                                <w:rPr>
                                  <w:rFonts w:eastAsia="Times New Roman"/>
                                  <w:sz w:val="20"/>
                                  <w:szCs w:val="20"/>
                                </w:rPr>
                              </w:pPr>
                            </w:p>
                          </w:tc>
                          <w:tc>
                            <w:tcPr>
                              <w:tcW w:w="0" w:type="auto"/>
                              <w:vAlign w:val="center"/>
                              <w:hideMark/>
                            </w:tcPr>
                            <w:p w:rsidR="00E56EFB" w:rsidRDefault="00E56EFB">
                              <w:pPr>
                                <w:rPr>
                                  <w:rFonts w:eastAsia="Times New Roman"/>
                                  <w:sz w:val="20"/>
                                  <w:szCs w:val="20"/>
                                </w:rPr>
                              </w:pPr>
                            </w:p>
                          </w:tc>
                        </w:tr>
                        <w:tr w:rsidR="00E56EFB">
                          <w:trPr>
                            <w:trHeight w:val="525"/>
                          </w:trPr>
                          <w:tc>
                            <w:tcPr>
                              <w:tcW w:w="0" w:type="auto"/>
                              <w:gridSpan w:val="2"/>
                              <w:vAlign w:val="center"/>
                              <w:hideMark/>
                            </w:tcPr>
                            <w:p w:rsidR="00E56EFB" w:rsidRDefault="00E56EFB">
                              <w:pPr>
                                <w:rPr>
                                  <w:rFonts w:ascii="Arial" w:hAnsi="Arial" w:cs="Arial"/>
                                  <w:color w:val="0072C6"/>
                                  <w:sz w:val="36"/>
                                  <w:szCs w:val="36"/>
                                </w:rPr>
                              </w:pPr>
                              <w:r>
                                <w:rPr>
                                  <w:rFonts w:ascii="Arial" w:hAnsi="Arial" w:cs="Arial"/>
                                  <w:noProof/>
                                  <w:color w:val="0072C6"/>
                                  <w:sz w:val="36"/>
                                  <w:szCs w:val="36"/>
                                </w:rPr>
                                <w:drawing>
                                  <wp:inline distT="0" distB="0" distL="0" distR="0" wp14:anchorId="60EDF10B" wp14:editId="23450C03">
                                    <wp:extent cx="7620" cy="336550"/>
                                    <wp:effectExtent l="0" t="0" r="0" b="0"/>
                                    <wp:docPr id="1" name="Picture 1" descr="http://t.contentsvr.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contentsvr.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36550"/>
                                            </a:xfrm>
                                            <a:prstGeom prst="rect">
                                              <a:avLst/>
                                            </a:prstGeom>
                                            <a:noFill/>
                                            <a:ln>
                                              <a:noFill/>
                                            </a:ln>
                                          </pic:spPr>
                                        </pic:pic>
                                      </a:graphicData>
                                    </a:graphic>
                                  </wp:inline>
                                </w:drawing>
                              </w:r>
                            </w:p>
                          </w:tc>
                        </w:tr>
                      </w:tbl>
                      <w:p w:rsidR="00E56EFB" w:rsidRDefault="00E56EFB">
                        <w:pPr>
                          <w:rPr>
                            <w:rFonts w:eastAsia="Times New Roman"/>
                            <w:sz w:val="20"/>
                            <w:szCs w:val="20"/>
                          </w:rPr>
                        </w:pPr>
                      </w:p>
                    </w:tc>
                  </w:tr>
                </w:tbl>
                <w:p w:rsidR="00E56EFB" w:rsidRDefault="00E56EFB">
                  <w:pPr>
                    <w:rPr>
                      <w:rFonts w:eastAsia="Times New Roman"/>
                      <w:sz w:val="20"/>
                      <w:szCs w:val="20"/>
                    </w:rPr>
                  </w:pPr>
                </w:p>
              </w:tc>
            </w:tr>
          </w:tbl>
          <w:p w:rsidR="00E56EFB" w:rsidRDefault="00E56EFB">
            <w:pPr>
              <w:jc w:val="center"/>
              <w:rPr>
                <w:rFonts w:eastAsia="Times New Roman"/>
                <w:sz w:val="20"/>
                <w:szCs w:val="20"/>
              </w:rPr>
            </w:pPr>
          </w:p>
        </w:tc>
      </w:tr>
    </w:tbl>
    <w:p w:rsidR="00E56EFB" w:rsidRDefault="00E56EFB" w:rsidP="00E56EFB">
      <w:pPr>
        <w:rPr>
          <w:rFonts w:ascii="Arial" w:hAnsi="Arial" w:cs="Arial"/>
          <w:color w:val="5E5E5E"/>
          <w:sz w:val="20"/>
          <w:szCs w:val="20"/>
        </w:rPr>
      </w:pPr>
    </w:p>
    <w:tbl>
      <w:tblPr>
        <w:tblW w:w="5000" w:type="pct"/>
        <w:jc w:val="center"/>
        <w:shd w:val="clear" w:color="auto" w:fill="0072C6"/>
        <w:tblCellMar>
          <w:left w:w="0" w:type="dxa"/>
          <w:right w:w="0" w:type="dxa"/>
        </w:tblCellMar>
        <w:tblLook w:val="04A0" w:firstRow="1" w:lastRow="0" w:firstColumn="1" w:lastColumn="0" w:noHBand="0" w:noVBand="1"/>
      </w:tblPr>
      <w:tblGrid>
        <w:gridCol w:w="9026"/>
      </w:tblGrid>
      <w:tr w:rsidR="00E56EFB" w:rsidTr="00E56EFB">
        <w:trPr>
          <w:jc w:val="center"/>
        </w:trPr>
        <w:tc>
          <w:tcPr>
            <w:tcW w:w="0" w:type="auto"/>
            <w:shd w:val="clear" w:color="auto" w:fill="0072C6"/>
            <w:vAlign w:val="center"/>
            <w:hideMark/>
          </w:tcPr>
          <w:tbl>
            <w:tblPr>
              <w:tblW w:w="9750" w:type="dxa"/>
              <w:jc w:val="center"/>
              <w:shd w:val="clear" w:color="auto" w:fill="0072C6"/>
              <w:tblCellMar>
                <w:left w:w="0" w:type="dxa"/>
                <w:right w:w="0" w:type="dxa"/>
              </w:tblCellMar>
              <w:tblLook w:val="04A0" w:firstRow="1" w:lastRow="0" w:firstColumn="1" w:lastColumn="0" w:noHBand="0" w:noVBand="1"/>
            </w:tblPr>
            <w:tblGrid>
              <w:gridCol w:w="9026"/>
            </w:tblGrid>
            <w:tr w:rsidR="00E56EFB">
              <w:trPr>
                <w:jc w:val="center"/>
              </w:trPr>
              <w:tc>
                <w:tcPr>
                  <w:tcW w:w="0" w:type="auto"/>
                  <w:shd w:val="clear" w:color="auto" w:fill="0072C6"/>
                  <w:vAlign w:val="center"/>
                  <w:hideMark/>
                </w:tcPr>
                <w:tbl>
                  <w:tblPr>
                    <w:tblW w:w="10293" w:type="dxa"/>
                    <w:tblCellMar>
                      <w:left w:w="0" w:type="dxa"/>
                      <w:right w:w="0" w:type="dxa"/>
                    </w:tblCellMar>
                    <w:tblLook w:val="04A0" w:firstRow="1" w:lastRow="0" w:firstColumn="1" w:lastColumn="0" w:noHBand="0" w:noVBand="1"/>
                  </w:tblPr>
                  <w:tblGrid>
                    <w:gridCol w:w="10293"/>
                  </w:tblGrid>
                  <w:tr w:rsidR="00E56EFB" w:rsidTr="00E56EFB">
                    <w:trPr>
                      <w:trHeight w:val="1682"/>
                    </w:trPr>
                    <w:tc>
                      <w:tcPr>
                        <w:tcW w:w="0" w:type="auto"/>
                        <w:vAlign w:val="center"/>
                        <w:hideMark/>
                      </w:tcPr>
                      <w:p w:rsidR="009B1A5E" w:rsidRDefault="00E56EFB">
                        <w:pPr>
                          <w:rPr>
                            <w:rFonts w:ascii="Arial" w:hAnsi="Arial" w:cs="Arial"/>
                            <w:color w:val="FFFFFF"/>
                            <w:sz w:val="36"/>
                            <w:szCs w:val="36"/>
                          </w:rPr>
                        </w:pPr>
                        <w:r>
                          <w:rPr>
                            <w:rFonts w:ascii="Arial" w:hAnsi="Arial" w:cs="Arial"/>
                            <w:color w:val="FFFFFF"/>
                            <w:sz w:val="36"/>
                            <w:szCs w:val="36"/>
                          </w:rPr>
                          <w:br/>
                          <w:t xml:space="preserve">Coming Soon: New online service for managing </w:t>
                        </w:r>
                      </w:p>
                      <w:p w:rsidR="00E56EFB" w:rsidRDefault="00E56EFB">
                        <w:pPr>
                          <w:rPr>
                            <w:rFonts w:ascii="Arial" w:hAnsi="Arial" w:cs="Arial"/>
                            <w:color w:val="FFFFFF"/>
                            <w:sz w:val="36"/>
                            <w:szCs w:val="36"/>
                          </w:rPr>
                        </w:pPr>
                        <w:bookmarkStart w:id="0" w:name="_GoBack"/>
                        <w:bookmarkEnd w:id="0"/>
                        <w:r>
                          <w:rPr>
                            <w:rFonts w:ascii="Arial" w:hAnsi="Arial" w:cs="Arial"/>
                            <w:color w:val="FFFFFF"/>
                            <w:sz w:val="36"/>
                            <w:szCs w:val="36"/>
                          </w:rPr>
                          <w:t>GP payments and claims</w:t>
                        </w:r>
                        <w:r>
                          <w:rPr>
                            <w:rFonts w:ascii="Arial" w:hAnsi="Arial" w:cs="Arial"/>
                            <w:color w:val="FFFFFF"/>
                            <w:sz w:val="36"/>
                            <w:szCs w:val="36"/>
                          </w:rPr>
                          <w:br/>
                          <w:t> </w:t>
                        </w:r>
                      </w:p>
                    </w:tc>
                  </w:tr>
                </w:tbl>
                <w:p w:rsidR="00E56EFB" w:rsidRDefault="00E56EFB">
                  <w:pPr>
                    <w:rPr>
                      <w:rFonts w:eastAsia="Times New Roman"/>
                      <w:sz w:val="20"/>
                      <w:szCs w:val="20"/>
                    </w:rPr>
                  </w:pPr>
                </w:p>
              </w:tc>
            </w:tr>
          </w:tbl>
          <w:p w:rsidR="00E56EFB" w:rsidRDefault="00E56EFB">
            <w:pPr>
              <w:jc w:val="center"/>
              <w:rPr>
                <w:rFonts w:eastAsia="Times New Roman"/>
                <w:sz w:val="20"/>
                <w:szCs w:val="20"/>
              </w:rPr>
            </w:pPr>
          </w:p>
        </w:tc>
      </w:tr>
    </w:tbl>
    <w:p w:rsidR="00E56EFB" w:rsidRDefault="00E56EFB" w:rsidP="00E56EFB">
      <w:pPr>
        <w:pStyle w:val="NormalWeb"/>
        <w:rPr>
          <w:rFonts w:ascii="Arial" w:hAnsi="Arial" w:cs="Arial"/>
          <w:color w:val="003893"/>
        </w:rPr>
      </w:pPr>
      <w:r>
        <w:rPr>
          <w:rFonts w:ascii="Arial" w:hAnsi="Arial" w:cs="Arial"/>
          <w:color w:val="000000"/>
          <w:sz w:val="22"/>
          <w:szCs w:val="22"/>
        </w:rPr>
        <w:t>We want to tell you about the new online service for managing GP practice payment information which is launching later this year.</w:t>
      </w:r>
      <w:r>
        <w:rPr>
          <w:rFonts w:ascii="Arial" w:hAnsi="Arial" w:cs="Arial"/>
          <w:color w:val="000000"/>
          <w:sz w:val="22"/>
          <w:szCs w:val="22"/>
        </w:rPr>
        <w:br/>
      </w:r>
      <w:r>
        <w:rPr>
          <w:rFonts w:ascii="Arial" w:hAnsi="Arial" w:cs="Arial"/>
          <w:color w:val="000000"/>
          <w:sz w:val="22"/>
          <w:szCs w:val="22"/>
        </w:rPr>
        <w:br/>
        <w:t xml:space="preserve">This new service will make it easier for you to manage payments claims and submit monthly payment schedules. This is a high level update providing you with an overview of the new </w:t>
      </w:r>
      <w:proofErr w:type="gramStart"/>
      <w:r>
        <w:rPr>
          <w:rFonts w:ascii="Arial" w:hAnsi="Arial" w:cs="Arial"/>
          <w:color w:val="000000"/>
          <w:sz w:val="22"/>
          <w:szCs w:val="22"/>
        </w:rPr>
        <w:t>service,</w:t>
      </w:r>
      <w:proofErr w:type="gramEnd"/>
      <w:r>
        <w:rPr>
          <w:rFonts w:ascii="Arial" w:hAnsi="Arial" w:cs="Arial"/>
          <w:color w:val="000000"/>
          <w:sz w:val="22"/>
          <w:szCs w:val="22"/>
        </w:rPr>
        <w:t xml:space="preserve"> we’ll be keeping you updated over the coming months.</w:t>
      </w:r>
      <w:r>
        <w:rPr>
          <w:rFonts w:ascii="Arial" w:hAnsi="Arial" w:cs="Arial"/>
          <w:color w:val="000000"/>
          <w:sz w:val="22"/>
          <w:szCs w:val="22"/>
        </w:rPr>
        <w:br/>
      </w:r>
      <w:r>
        <w:rPr>
          <w:rFonts w:ascii="Arial" w:hAnsi="Arial" w:cs="Arial"/>
          <w:color w:val="000000"/>
          <w:sz w:val="22"/>
          <w:szCs w:val="22"/>
        </w:rPr>
        <w:br/>
      </w:r>
      <w:r>
        <w:rPr>
          <w:rStyle w:val="Strong"/>
          <w:rFonts w:ascii="Arial" w:hAnsi="Arial" w:cs="Arial"/>
          <w:color w:val="000000"/>
          <w:sz w:val="22"/>
          <w:szCs w:val="22"/>
        </w:rPr>
        <w:t>Transforming how we support you</w:t>
      </w:r>
      <w:r>
        <w:rPr>
          <w:rFonts w:ascii="Arial" w:hAnsi="Arial" w:cs="Arial"/>
          <w:color w:val="000000"/>
          <w:sz w:val="22"/>
          <w:szCs w:val="22"/>
        </w:rPr>
        <w:br/>
      </w:r>
      <w:r>
        <w:rPr>
          <w:rFonts w:ascii="Arial" w:hAnsi="Arial" w:cs="Arial"/>
          <w:color w:val="000000"/>
          <w:sz w:val="22"/>
          <w:szCs w:val="22"/>
        </w:rPr>
        <w:br/>
      </w:r>
      <w:proofErr w:type="gramStart"/>
      <w:r>
        <w:rPr>
          <w:rFonts w:ascii="Arial" w:hAnsi="Arial" w:cs="Arial"/>
          <w:color w:val="000000"/>
          <w:sz w:val="22"/>
          <w:szCs w:val="22"/>
        </w:rPr>
        <w:t>Through</w:t>
      </w:r>
      <w:proofErr w:type="gramEnd"/>
      <w:r>
        <w:rPr>
          <w:rFonts w:ascii="Arial" w:hAnsi="Arial" w:cs="Arial"/>
          <w:color w:val="000000"/>
          <w:sz w:val="22"/>
          <w:szCs w:val="22"/>
        </w:rPr>
        <w:t xml:space="preserve"> our services transformation programme we have moved many of our services online, including: Performer List applications, Market Entry applications and Ophthalmic GOS payments. This year, PCSE is introducing a digital service for submitting and reviewing payment and pension requests, which will provide users with a simpler, more efficient, and fully tracked payments and </w:t>
      </w:r>
      <w:proofErr w:type="gramStart"/>
      <w:r>
        <w:rPr>
          <w:rFonts w:ascii="Arial" w:hAnsi="Arial" w:cs="Arial"/>
          <w:color w:val="000000"/>
          <w:sz w:val="22"/>
          <w:szCs w:val="22"/>
        </w:rPr>
        <w:t>pensions</w:t>
      </w:r>
      <w:proofErr w:type="gramEnd"/>
      <w:r>
        <w:rPr>
          <w:rFonts w:ascii="Arial" w:hAnsi="Arial" w:cs="Arial"/>
          <w:color w:val="000000"/>
          <w:sz w:val="22"/>
          <w:szCs w:val="22"/>
        </w:rPr>
        <w:t xml:space="preserve"> administration service.</w:t>
      </w:r>
      <w:r>
        <w:rPr>
          <w:rFonts w:ascii="Arial" w:hAnsi="Arial" w:cs="Arial"/>
          <w:color w:val="000000"/>
          <w:sz w:val="22"/>
          <w:szCs w:val="22"/>
        </w:rPr>
        <w:br/>
      </w:r>
      <w:r>
        <w:rPr>
          <w:rFonts w:ascii="Arial" w:hAnsi="Arial" w:cs="Arial"/>
          <w:color w:val="000000"/>
          <w:sz w:val="22"/>
          <w:szCs w:val="22"/>
        </w:rPr>
        <w:br/>
        <w:t>Throughout the development and introduction of this new service we will continue to work together with our stakeholders and customers including NHS England, BMA, accountants, commissioners and GPs to make sure that the timing on the launch is appropriate. The new service is expected to launch in September this year.</w:t>
      </w:r>
      <w:r>
        <w:rPr>
          <w:rFonts w:ascii="Arial" w:hAnsi="Arial" w:cs="Arial"/>
          <w:color w:val="000000"/>
          <w:sz w:val="22"/>
          <w:szCs w:val="22"/>
        </w:rPr>
        <w:br/>
      </w:r>
      <w:r>
        <w:rPr>
          <w:rFonts w:ascii="Arial" w:hAnsi="Arial" w:cs="Arial"/>
          <w:color w:val="000000"/>
          <w:sz w:val="22"/>
          <w:szCs w:val="22"/>
        </w:rPr>
        <w:br/>
      </w:r>
      <w:r>
        <w:rPr>
          <w:rStyle w:val="Strong"/>
          <w:rFonts w:ascii="Arial" w:hAnsi="Arial" w:cs="Arial"/>
          <w:color w:val="000000"/>
          <w:sz w:val="22"/>
          <w:szCs w:val="22"/>
        </w:rPr>
        <w:t>What’s changing?</w:t>
      </w:r>
      <w:r>
        <w:rPr>
          <w:rFonts w:ascii="Arial" w:hAnsi="Arial" w:cs="Arial"/>
          <w:color w:val="000000"/>
          <w:sz w:val="22"/>
          <w:szCs w:val="22"/>
        </w:rPr>
        <w:br/>
      </w:r>
      <w:r>
        <w:rPr>
          <w:rFonts w:ascii="Arial" w:hAnsi="Arial" w:cs="Arial"/>
          <w:color w:val="000000"/>
          <w:sz w:val="22"/>
          <w:szCs w:val="22"/>
        </w:rPr>
        <w:br/>
      </w:r>
      <w:r>
        <w:rPr>
          <w:rStyle w:val="Strong"/>
          <w:rFonts w:ascii="Arial" w:hAnsi="Arial" w:cs="Arial"/>
          <w:color w:val="000000"/>
          <w:sz w:val="22"/>
          <w:szCs w:val="22"/>
        </w:rPr>
        <w:t>GP Practice payments</w:t>
      </w:r>
      <w:proofErr w:type="gramStart"/>
      <w:r>
        <w:rPr>
          <w:rStyle w:val="Strong"/>
          <w:rFonts w:ascii="Arial" w:hAnsi="Arial" w:cs="Arial"/>
          <w:color w:val="000000"/>
          <w:sz w:val="22"/>
          <w:szCs w:val="22"/>
        </w:rPr>
        <w:t>:</w:t>
      </w:r>
      <w:proofErr w:type="gramEnd"/>
      <w:r>
        <w:rPr>
          <w:rFonts w:ascii="Arial" w:hAnsi="Arial" w:cs="Arial"/>
          <w:color w:val="000000"/>
          <w:sz w:val="22"/>
          <w:szCs w:val="22"/>
        </w:rPr>
        <w:br/>
      </w:r>
      <w:r>
        <w:rPr>
          <w:rFonts w:ascii="Arial" w:hAnsi="Arial" w:cs="Arial"/>
          <w:color w:val="000000"/>
          <w:sz w:val="22"/>
          <w:szCs w:val="22"/>
        </w:rPr>
        <w:br/>
        <w:t>We’re making it easier to submit, track and approve practice payment claims for Commissioners and GP practices.</w:t>
      </w:r>
      <w:r>
        <w:rPr>
          <w:rFonts w:ascii="Arial" w:hAnsi="Arial" w:cs="Arial"/>
          <w:color w:val="000000"/>
          <w:sz w:val="22"/>
          <w:szCs w:val="22"/>
        </w:rPr>
        <w:br/>
      </w:r>
      <w:r>
        <w:rPr>
          <w:rFonts w:ascii="Arial" w:hAnsi="Arial" w:cs="Arial"/>
          <w:color w:val="000000"/>
          <w:sz w:val="22"/>
          <w:szCs w:val="22"/>
        </w:rPr>
        <w:br/>
        <w:t>We are introducing an online system for practices to submit their payments and for you to approve their claims and upload monthly payment schedules. The new system will provide practices with online validation and highlight any missing information which is likely to improve the accuracy of payments and reduce the likeliness of delays.</w:t>
      </w:r>
      <w:r>
        <w:rPr>
          <w:rFonts w:ascii="Arial" w:hAnsi="Arial" w:cs="Arial"/>
          <w:color w:val="000000"/>
          <w:sz w:val="22"/>
          <w:szCs w:val="22"/>
        </w:rPr>
        <w:br/>
      </w:r>
      <w:r>
        <w:rPr>
          <w:rFonts w:ascii="Arial" w:hAnsi="Arial" w:cs="Arial"/>
          <w:color w:val="000000"/>
          <w:sz w:val="22"/>
          <w:szCs w:val="22"/>
        </w:rPr>
        <w:br/>
        <w:t>The new easy to use system will allow multiple submissions for practice’s payment claims such as premises and Locum claims.</w:t>
      </w:r>
      <w:r>
        <w:rPr>
          <w:rFonts w:ascii="Arial" w:hAnsi="Arial" w:cs="Arial"/>
          <w:color w:val="000000"/>
          <w:sz w:val="22"/>
          <w:szCs w:val="22"/>
        </w:rPr>
        <w:br/>
      </w:r>
      <w:r>
        <w:rPr>
          <w:rFonts w:ascii="Arial" w:hAnsi="Arial" w:cs="Arial"/>
          <w:color w:val="000000"/>
          <w:sz w:val="22"/>
          <w:szCs w:val="22"/>
        </w:rPr>
        <w:br/>
        <w:t>When the system is launched Practice’s monthly statements will be on PCSE Online instead of Open Exeter. The statement will include:</w:t>
      </w:r>
    </w:p>
    <w:p w:rsidR="00E56EFB" w:rsidRDefault="00E56EFB" w:rsidP="00E56EFB">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sz w:val="22"/>
          <w:szCs w:val="22"/>
        </w:rPr>
        <w:t>a breakdown of all payment claims</w:t>
      </w:r>
    </w:p>
    <w:p w:rsidR="00E56EFB" w:rsidRDefault="00E56EFB" w:rsidP="00E56EFB">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sz w:val="22"/>
          <w:szCs w:val="22"/>
        </w:rPr>
        <w:t>expected payment dates</w:t>
      </w:r>
    </w:p>
    <w:p w:rsidR="00E56EFB" w:rsidRDefault="00E56EFB" w:rsidP="00E56EFB">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sz w:val="22"/>
          <w:szCs w:val="22"/>
        </w:rPr>
        <w:t>pension deductions taken from practices</w:t>
      </w:r>
    </w:p>
    <w:p w:rsidR="00E56EFB" w:rsidRDefault="00E56EFB" w:rsidP="00E56EFB">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sz w:val="22"/>
          <w:szCs w:val="22"/>
        </w:rPr>
        <w:t>pension deductions for a member to-date</w:t>
      </w:r>
    </w:p>
    <w:p w:rsidR="00E56EFB" w:rsidRDefault="00E56EFB" w:rsidP="00E56EFB">
      <w:pPr>
        <w:pStyle w:val="NormalWeb"/>
        <w:rPr>
          <w:rFonts w:ascii="Arial" w:hAnsi="Arial" w:cs="Arial"/>
          <w:color w:val="003893"/>
        </w:rPr>
      </w:pPr>
      <w:r>
        <w:rPr>
          <w:rFonts w:ascii="Arial" w:hAnsi="Arial" w:cs="Arial"/>
          <w:color w:val="003893"/>
        </w:rPr>
        <w:lastRenderedPageBreak/>
        <w:br/>
      </w:r>
      <w:r>
        <w:rPr>
          <w:rStyle w:val="Strong"/>
          <w:rFonts w:ascii="Arial" w:hAnsi="Arial" w:cs="Arial"/>
          <w:color w:val="000000"/>
          <w:sz w:val="22"/>
          <w:szCs w:val="22"/>
        </w:rPr>
        <w:t>Available support</w:t>
      </w:r>
      <w:r>
        <w:rPr>
          <w:rFonts w:ascii="Arial" w:hAnsi="Arial" w:cs="Arial"/>
          <w:color w:val="000000"/>
          <w:sz w:val="22"/>
          <w:szCs w:val="22"/>
        </w:rPr>
        <w:br/>
        <w:t> </w:t>
      </w:r>
      <w:r>
        <w:rPr>
          <w:rFonts w:ascii="Arial" w:hAnsi="Arial" w:cs="Arial"/>
          <w:color w:val="000000"/>
          <w:sz w:val="22"/>
          <w:szCs w:val="22"/>
        </w:rPr>
        <w:br/>
      </w:r>
      <w:proofErr w:type="gramStart"/>
      <w:r>
        <w:rPr>
          <w:rFonts w:ascii="Arial" w:hAnsi="Arial" w:cs="Arial"/>
          <w:color w:val="000000"/>
          <w:sz w:val="22"/>
          <w:szCs w:val="22"/>
        </w:rPr>
        <w:t>We</w:t>
      </w:r>
      <w:proofErr w:type="gramEnd"/>
      <w:r>
        <w:rPr>
          <w:rFonts w:ascii="Arial" w:hAnsi="Arial" w:cs="Arial"/>
          <w:color w:val="000000"/>
          <w:sz w:val="22"/>
          <w:szCs w:val="22"/>
        </w:rPr>
        <w:t xml:space="preserve"> want to support you every step of the way, keeping you informed and making sure that you have access to guidance and resources so that you are ready for when the service goes live. To help with this, we have set up regular user forums with GP practices, GPs and commissioners to discuss what guides and support you will need in the lead up to the launch of the new services.</w:t>
      </w:r>
      <w:r>
        <w:rPr>
          <w:rFonts w:ascii="Arial" w:hAnsi="Arial" w:cs="Arial"/>
          <w:color w:val="000000"/>
          <w:sz w:val="22"/>
          <w:szCs w:val="22"/>
        </w:rPr>
        <w:br/>
      </w:r>
      <w:r>
        <w:rPr>
          <w:rFonts w:ascii="Arial" w:hAnsi="Arial" w:cs="Arial"/>
          <w:color w:val="000000"/>
          <w:sz w:val="22"/>
          <w:szCs w:val="22"/>
        </w:rPr>
        <w:br/>
        <w:t>We will be keeping you updated over the coming weeks about what you need to do to prepare for the launch, including how to register and how to give other users access.</w:t>
      </w:r>
      <w:r>
        <w:rPr>
          <w:rFonts w:ascii="Arial" w:hAnsi="Arial" w:cs="Arial"/>
          <w:color w:val="000000"/>
          <w:sz w:val="22"/>
          <w:szCs w:val="22"/>
        </w:rPr>
        <w:br/>
        <w:t> </w:t>
      </w:r>
      <w:r>
        <w:rPr>
          <w:rFonts w:ascii="Arial" w:hAnsi="Arial" w:cs="Arial"/>
          <w:color w:val="000000"/>
          <w:sz w:val="22"/>
          <w:szCs w:val="22"/>
        </w:rPr>
        <w:br/>
        <w:t>Please let us know how satisfied you are with this update using the feedback stars below, if you have any questions about the new service you can also submit these in the comments. We will use your questions to help shape the support materials that will be available prior to the new service launching.</w:t>
      </w:r>
      <w:r>
        <w:rPr>
          <w:rFonts w:ascii="Arial" w:hAnsi="Arial" w:cs="Arial"/>
          <w:color w:val="000000"/>
          <w:sz w:val="22"/>
          <w:szCs w:val="22"/>
        </w:rPr>
        <w:br/>
        <w:t> </w:t>
      </w:r>
      <w:r>
        <w:rPr>
          <w:rFonts w:ascii="Arial" w:hAnsi="Arial" w:cs="Arial"/>
          <w:color w:val="000000"/>
          <w:sz w:val="22"/>
          <w:szCs w:val="22"/>
        </w:rPr>
        <w:br/>
      </w:r>
      <w:r>
        <w:rPr>
          <w:rFonts w:ascii="Arial" w:hAnsi="Arial" w:cs="Arial"/>
          <w:color w:val="000000"/>
          <w:sz w:val="22"/>
          <w:szCs w:val="22"/>
        </w:rPr>
        <w:br/>
        <w:t>Best wishes</w:t>
      </w:r>
      <w:proofErr w:type="gramStart"/>
      <w:r>
        <w:rPr>
          <w:rFonts w:ascii="Arial" w:hAnsi="Arial" w:cs="Arial"/>
          <w:color w:val="000000"/>
          <w:sz w:val="22"/>
          <w:szCs w:val="22"/>
        </w:rPr>
        <w:t>,</w:t>
      </w:r>
      <w:proofErr w:type="gramEnd"/>
      <w:r>
        <w:rPr>
          <w:rFonts w:ascii="Arial" w:hAnsi="Arial" w:cs="Arial"/>
          <w:color w:val="000000"/>
          <w:sz w:val="22"/>
          <w:szCs w:val="22"/>
        </w:rPr>
        <w:br/>
      </w:r>
      <w:r>
        <w:rPr>
          <w:rFonts w:ascii="Arial" w:hAnsi="Arial" w:cs="Arial"/>
          <w:color w:val="000000"/>
          <w:sz w:val="22"/>
          <w:szCs w:val="22"/>
        </w:rPr>
        <w:br/>
        <w:t>The PCSE Team</w:t>
      </w:r>
    </w:p>
    <w:p w:rsidR="00856BFC" w:rsidRDefault="00856BFC"/>
    <w:sectPr w:rsidR="00856BFC" w:rsidSect="00E56EF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52D2"/>
    <w:multiLevelType w:val="multilevel"/>
    <w:tmpl w:val="FB0A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FB"/>
    <w:rsid w:val="00856BFC"/>
    <w:rsid w:val="009B1A5E"/>
    <w:rsid w:val="00E5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EFB"/>
    <w:pPr>
      <w:spacing w:before="100" w:beforeAutospacing="1" w:after="100" w:afterAutospacing="1"/>
    </w:pPr>
  </w:style>
  <w:style w:type="character" w:styleId="Strong">
    <w:name w:val="Strong"/>
    <w:basedOn w:val="DefaultParagraphFont"/>
    <w:uiPriority w:val="22"/>
    <w:qFormat/>
    <w:rsid w:val="00E56EFB"/>
    <w:rPr>
      <w:b/>
      <w:bCs/>
    </w:rPr>
  </w:style>
  <w:style w:type="paragraph" w:styleId="BalloonText">
    <w:name w:val="Balloon Text"/>
    <w:basedOn w:val="Normal"/>
    <w:link w:val="BalloonTextChar"/>
    <w:uiPriority w:val="99"/>
    <w:semiHidden/>
    <w:unhideWhenUsed/>
    <w:rsid w:val="00E56EFB"/>
    <w:rPr>
      <w:rFonts w:ascii="Tahoma" w:hAnsi="Tahoma" w:cs="Tahoma"/>
      <w:sz w:val="16"/>
      <w:szCs w:val="16"/>
    </w:rPr>
  </w:style>
  <w:style w:type="character" w:customStyle="1" w:styleId="BalloonTextChar">
    <w:name w:val="Balloon Text Char"/>
    <w:basedOn w:val="DefaultParagraphFont"/>
    <w:link w:val="BalloonText"/>
    <w:uiPriority w:val="99"/>
    <w:semiHidden/>
    <w:rsid w:val="00E56EF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EFB"/>
    <w:pPr>
      <w:spacing w:before="100" w:beforeAutospacing="1" w:after="100" w:afterAutospacing="1"/>
    </w:pPr>
  </w:style>
  <w:style w:type="character" w:styleId="Strong">
    <w:name w:val="Strong"/>
    <w:basedOn w:val="DefaultParagraphFont"/>
    <w:uiPriority w:val="22"/>
    <w:qFormat/>
    <w:rsid w:val="00E56EFB"/>
    <w:rPr>
      <w:b/>
      <w:bCs/>
    </w:rPr>
  </w:style>
  <w:style w:type="paragraph" w:styleId="BalloonText">
    <w:name w:val="Balloon Text"/>
    <w:basedOn w:val="Normal"/>
    <w:link w:val="BalloonTextChar"/>
    <w:uiPriority w:val="99"/>
    <w:semiHidden/>
    <w:unhideWhenUsed/>
    <w:rsid w:val="00E56EFB"/>
    <w:rPr>
      <w:rFonts w:ascii="Tahoma" w:hAnsi="Tahoma" w:cs="Tahoma"/>
      <w:sz w:val="16"/>
      <w:szCs w:val="16"/>
    </w:rPr>
  </w:style>
  <w:style w:type="character" w:customStyle="1" w:styleId="BalloonTextChar">
    <w:name w:val="Balloon Text Char"/>
    <w:basedOn w:val="DefaultParagraphFont"/>
    <w:link w:val="BalloonText"/>
    <w:uiPriority w:val="99"/>
    <w:semiHidden/>
    <w:rsid w:val="00E56EF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2682">
      <w:bodyDiv w:val="1"/>
      <w:marLeft w:val="0"/>
      <w:marRight w:val="0"/>
      <w:marTop w:val="0"/>
      <w:marBottom w:val="0"/>
      <w:divBdr>
        <w:top w:val="none" w:sz="0" w:space="0" w:color="auto"/>
        <w:left w:val="none" w:sz="0" w:space="0" w:color="auto"/>
        <w:bottom w:val="none" w:sz="0" w:space="0" w:color="auto"/>
        <w:right w:val="none" w:sz="0" w:space="0" w:color="auto"/>
      </w:divBdr>
    </w:div>
    <w:div w:id="18196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2</cp:revision>
  <dcterms:created xsi:type="dcterms:W3CDTF">2020-07-23T10:26:00Z</dcterms:created>
  <dcterms:modified xsi:type="dcterms:W3CDTF">2020-07-23T10:30:00Z</dcterms:modified>
</cp:coreProperties>
</file>