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4B" w:rsidRDefault="00B6154B" w:rsidP="004379A1">
      <w:pPr>
        <w:pStyle w:val="Reportcovertitle"/>
        <w:spacing w:before="360"/>
        <w:jc w:val="center"/>
      </w:pPr>
    </w:p>
    <w:p w:rsidR="002B30BD" w:rsidRDefault="00575E9B" w:rsidP="004379A1">
      <w:pPr>
        <w:pStyle w:val="Reportcovertitle"/>
        <w:spacing w:before="360"/>
        <w:jc w:val="center"/>
      </w:pPr>
      <w:r w:rsidRPr="00A05404">
        <w:t xml:space="preserve">GPN Ready Scheme </w:t>
      </w:r>
      <w:r w:rsidR="00BB51B6">
        <w:t>2019/2020</w:t>
      </w:r>
    </w:p>
    <w:p w:rsidR="004379A1" w:rsidRPr="00A05404" w:rsidRDefault="00B93A60" w:rsidP="004379A1">
      <w:pPr>
        <w:pStyle w:val="Reportcovertitle"/>
        <w:spacing w:before="360"/>
        <w:jc w:val="center"/>
      </w:pPr>
      <w:r>
        <w:t>Information Pack for P</w:t>
      </w:r>
      <w:r w:rsidR="004379A1">
        <w:t>ractices</w:t>
      </w:r>
    </w:p>
    <w:p w:rsidR="00575E9B" w:rsidRDefault="00575E9B">
      <w:pPr>
        <w:rPr>
          <w:b/>
        </w:rPr>
      </w:pPr>
    </w:p>
    <w:p w:rsidR="00827D31" w:rsidRDefault="00827D31">
      <w:pPr>
        <w:rPr>
          <w:b/>
        </w:rPr>
      </w:pPr>
    </w:p>
    <w:p w:rsidR="00827D31" w:rsidRDefault="00827D31">
      <w:pPr>
        <w:rPr>
          <w:b/>
        </w:rPr>
      </w:pPr>
    </w:p>
    <w:p w:rsidR="00827D31" w:rsidRDefault="00827D31">
      <w:pPr>
        <w:rPr>
          <w:b/>
        </w:rPr>
      </w:pPr>
    </w:p>
    <w:p w:rsidR="00827D31" w:rsidRPr="00575E9B" w:rsidRDefault="00827D31">
      <w:pPr>
        <w:rPr>
          <w:b/>
        </w:rPr>
      </w:pPr>
    </w:p>
    <w:p w:rsidR="00575E9B" w:rsidRDefault="00575E9B" w:rsidP="00575E9B">
      <w:pPr>
        <w:spacing w:line="276" w:lineRule="auto"/>
        <w:rPr>
          <w:sz w:val="22"/>
          <w:szCs w:val="22"/>
        </w:rPr>
      </w:pPr>
    </w:p>
    <w:tbl>
      <w:tblPr>
        <w:tblStyle w:val="TableGrid"/>
        <w:tblW w:w="9464" w:type="dxa"/>
        <w:tblLook w:val="04A0" w:firstRow="1" w:lastRow="0" w:firstColumn="1" w:lastColumn="0" w:noHBand="0" w:noVBand="1"/>
      </w:tblPr>
      <w:tblGrid>
        <w:gridCol w:w="2660"/>
        <w:gridCol w:w="6804"/>
      </w:tblGrid>
      <w:tr w:rsidR="00827D31" w:rsidRPr="00DB16FA" w:rsidTr="00F752B6">
        <w:tc>
          <w:tcPr>
            <w:tcW w:w="2660" w:type="dxa"/>
            <w:vAlign w:val="center"/>
          </w:tcPr>
          <w:p w:rsidR="00827D31" w:rsidRPr="00DB16FA" w:rsidRDefault="00B6154B" w:rsidP="00F752B6">
            <w:pPr>
              <w:rPr>
                <w:rFonts w:cs="Arial"/>
                <w:b/>
                <w:color w:val="0070C0"/>
                <w:szCs w:val="24"/>
              </w:rPr>
            </w:pPr>
            <w:r>
              <w:rPr>
                <w:sz w:val="44"/>
                <w:szCs w:val="44"/>
              </w:rPr>
              <w:br w:type="page"/>
            </w:r>
            <w:r w:rsidR="00827D31" w:rsidRPr="00DB16FA">
              <w:rPr>
                <w:b/>
                <w:szCs w:val="24"/>
              </w:rPr>
              <w:t>Document Title:</w:t>
            </w:r>
          </w:p>
        </w:tc>
        <w:tc>
          <w:tcPr>
            <w:tcW w:w="6804" w:type="dxa"/>
            <w:vAlign w:val="center"/>
          </w:tcPr>
          <w:p w:rsidR="00827D31" w:rsidRPr="00DB16FA" w:rsidRDefault="00827D31" w:rsidP="00BB51B6">
            <w:pPr>
              <w:spacing w:before="60" w:after="60"/>
              <w:rPr>
                <w:szCs w:val="24"/>
              </w:rPr>
            </w:pPr>
            <w:r>
              <w:rPr>
                <w:szCs w:val="24"/>
              </w:rPr>
              <w:t xml:space="preserve">GPN Ready </w:t>
            </w:r>
            <w:r w:rsidR="00F1146C">
              <w:rPr>
                <w:szCs w:val="24"/>
              </w:rPr>
              <w:t xml:space="preserve">Scheme </w:t>
            </w:r>
            <w:r w:rsidR="00BB51B6">
              <w:rPr>
                <w:szCs w:val="24"/>
              </w:rPr>
              <w:t>2019/20</w:t>
            </w:r>
          </w:p>
        </w:tc>
      </w:tr>
      <w:tr w:rsidR="00827D31" w:rsidRPr="00DB16FA" w:rsidTr="00F752B6">
        <w:tc>
          <w:tcPr>
            <w:tcW w:w="2660" w:type="dxa"/>
            <w:vAlign w:val="center"/>
          </w:tcPr>
          <w:p w:rsidR="00827D31" w:rsidRPr="00DB16FA" w:rsidRDefault="00827D31" w:rsidP="00F752B6">
            <w:pPr>
              <w:rPr>
                <w:b/>
                <w:szCs w:val="24"/>
              </w:rPr>
            </w:pPr>
            <w:r w:rsidRPr="00DB16FA">
              <w:rPr>
                <w:b/>
                <w:szCs w:val="24"/>
              </w:rPr>
              <w:t>First Published:</w:t>
            </w:r>
          </w:p>
        </w:tc>
        <w:tc>
          <w:tcPr>
            <w:tcW w:w="6804" w:type="dxa"/>
            <w:vAlign w:val="center"/>
          </w:tcPr>
          <w:p w:rsidR="00827D31" w:rsidRPr="00DB16FA" w:rsidRDefault="00A71267" w:rsidP="00F752B6">
            <w:pPr>
              <w:spacing w:before="60" w:after="60"/>
              <w:rPr>
                <w:szCs w:val="24"/>
              </w:rPr>
            </w:pPr>
            <w:r>
              <w:rPr>
                <w:szCs w:val="24"/>
              </w:rPr>
              <w:t>June</w:t>
            </w:r>
            <w:r w:rsidR="00827D31">
              <w:rPr>
                <w:szCs w:val="24"/>
              </w:rPr>
              <w:t xml:space="preserve"> 2017</w:t>
            </w:r>
          </w:p>
        </w:tc>
      </w:tr>
      <w:tr w:rsidR="00827D31" w:rsidRPr="00DB16FA" w:rsidTr="00F752B6">
        <w:tc>
          <w:tcPr>
            <w:tcW w:w="2660" w:type="dxa"/>
            <w:vAlign w:val="center"/>
          </w:tcPr>
          <w:p w:rsidR="00827D31" w:rsidRPr="00DB16FA" w:rsidRDefault="00827D31" w:rsidP="00F752B6">
            <w:pPr>
              <w:rPr>
                <w:b/>
                <w:szCs w:val="24"/>
              </w:rPr>
            </w:pPr>
            <w:r>
              <w:rPr>
                <w:b/>
                <w:szCs w:val="24"/>
              </w:rPr>
              <w:t>Due for review</w:t>
            </w:r>
            <w:r w:rsidRPr="00DB16FA">
              <w:rPr>
                <w:b/>
                <w:szCs w:val="24"/>
              </w:rPr>
              <w:t>:</w:t>
            </w:r>
          </w:p>
        </w:tc>
        <w:tc>
          <w:tcPr>
            <w:tcW w:w="6804" w:type="dxa"/>
            <w:vAlign w:val="center"/>
          </w:tcPr>
          <w:p w:rsidR="00827D31" w:rsidRPr="00DB16FA" w:rsidRDefault="00827D31" w:rsidP="00BB51B6">
            <w:pPr>
              <w:spacing w:before="60" w:after="60"/>
              <w:rPr>
                <w:szCs w:val="24"/>
              </w:rPr>
            </w:pPr>
            <w:r>
              <w:rPr>
                <w:szCs w:val="24"/>
              </w:rPr>
              <w:t xml:space="preserve">Last quarter of the financial year </w:t>
            </w:r>
            <w:r w:rsidR="00BB51B6">
              <w:rPr>
                <w:szCs w:val="24"/>
              </w:rPr>
              <w:t>2019/2020</w:t>
            </w:r>
          </w:p>
        </w:tc>
      </w:tr>
    </w:tbl>
    <w:p w:rsidR="00EB66CE" w:rsidRDefault="00EB66CE">
      <w:pPr>
        <w:spacing w:after="200" w:line="276" w:lineRule="auto"/>
      </w:pPr>
    </w:p>
    <w:p w:rsidR="00EB66CE" w:rsidRDefault="00EB66CE">
      <w:pPr>
        <w:spacing w:after="200" w:line="276" w:lineRule="auto"/>
      </w:pPr>
    </w:p>
    <w:p w:rsidR="00EB66CE" w:rsidRDefault="00EB66CE">
      <w:pPr>
        <w:spacing w:after="200" w:line="276" w:lineRule="auto"/>
        <w:rPr>
          <w:noProof/>
          <w:lang w:eastAsia="en-GB"/>
        </w:rPr>
      </w:pPr>
    </w:p>
    <w:p w:rsidR="00EB66CE" w:rsidRDefault="00EB66CE">
      <w:pPr>
        <w:spacing w:after="200" w:line="276" w:lineRule="auto"/>
        <w:rPr>
          <w:noProof/>
          <w:lang w:eastAsia="en-GB"/>
        </w:rPr>
      </w:pPr>
    </w:p>
    <w:p w:rsidR="00EB66CE" w:rsidRDefault="00EB66CE">
      <w:pPr>
        <w:spacing w:after="200" w:line="276" w:lineRule="auto"/>
        <w:rPr>
          <w:noProof/>
          <w:lang w:eastAsia="en-GB"/>
        </w:rPr>
      </w:pPr>
    </w:p>
    <w:p w:rsidR="00EB66CE" w:rsidRDefault="00EB66CE">
      <w:pPr>
        <w:spacing w:after="200" w:line="276" w:lineRule="auto"/>
        <w:rPr>
          <w:noProof/>
          <w:lang w:eastAsia="en-GB"/>
        </w:rPr>
      </w:pPr>
    </w:p>
    <w:p w:rsidR="00EB66CE" w:rsidRDefault="00EB66CE">
      <w:pPr>
        <w:spacing w:after="200" w:line="276" w:lineRule="auto"/>
      </w:pPr>
    </w:p>
    <w:p w:rsidR="00EB66CE" w:rsidRDefault="00EB66CE">
      <w:pPr>
        <w:spacing w:after="200" w:line="276" w:lineRule="auto"/>
      </w:pPr>
    </w:p>
    <w:p w:rsidR="00EB66CE" w:rsidRPr="00EB66CE" w:rsidRDefault="00EB66CE">
      <w:pPr>
        <w:spacing w:after="200" w:line="276" w:lineRule="auto"/>
      </w:pPr>
    </w:p>
    <w:sdt>
      <w:sdtPr>
        <w:rPr>
          <w:rFonts w:ascii="Arial" w:eastAsia="Times New Roman" w:hAnsi="Arial" w:cs="Times New Roman"/>
          <w:b w:val="0"/>
          <w:color w:val="auto"/>
          <w:sz w:val="24"/>
          <w:szCs w:val="26"/>
          <w:lang w:val="en-GB" w:eastAsia="en-US"/>
        </w:rPr>
        <w:id w:val="1571771524"/>
        <w:docPartObj>
          <w:docPartGallery w:val="Table of Contents"/>
          <w:docPartUnique/>
        </w:docPartObj>
      </w:sdtPr>
      <w:sdtEndPr>
        <w:rPr>
          <w:noProof/>
        </w:rPr>
      </w:sdtEndPr>
      <w:sdtContent>
        <w:p w:rsidR="004A4B75" w:rsidRPr="003334C8" w:rsidRDefault="004A4B75" w:rsidP="00EB66CE">
          <w:pPr>
            <w:pStyle w:val="TOCHeading"/>
            <w:numPr>
              <w:ilvl w:val="0"/>
              <w:numId w:val="0"/>
            </w:numPr>
            <w:rPr>
              <w:rFonts w:ascii="Arial" w:hAnsi="Arial" w:cs="Arial"/>
            </w:rPr>
          </w:pPr>
          <w:r w:rsidRPr="003334C8">
            <w:rPr>
              <w:rFonts w:ascii="Arial" w:hAnsi="Arial" w:cs="Arial"/>
            </w:rPr>
            <w:t>Table of Contents</w:t>
          </w:r>
        </w:p>
        <w:p w:rsidR="004A4B75" w:rsidRPr="004A4B75" w:rsidRDefault="004A4B75" w:rsidP="004A4B75">
          <w:pPr>
            <w:rPr>
              <w:lang w:val="en-US" w:eastAsia="ja-JP"/>
            </w:rPr>
          </w:pPr>
        </w:p>
        <w:p w:rsidR="003334C8" w:rsidRDefault="004A4B75">
          <w:pPr>
            <w:pStyle w:val="TOC1"/>
            <w:tabs>
              <w:tab w:val="left" w:pos="440"/>
              <w:tab w:val="right" w:leader="dot" w:pos="9016"/>
            </w:tabs>
            <w:rPr>
              <w:noProof/>
              <w:lang w:val="en-GB" w:eastAsia="en-GB"/>
            </w:rPr>
          </w:pPr>
          <w:r>
            <w:fldChar w:fldCharType="begin"/>
          </w:r>
          <w:r>
            <w:instrText xml:space="preserve"> TOC \o "1-3" \h \z \u </w:instrText>
          </w:r>
          <w:r>
            <w:fldChar w:fldCharType="separate"/>
          </w:r>
          <w:hyperlink w:anchor="_Toc481760985" w:history="1">
            <w:r w:rsidR="003334C8" w:rsidRPr="00C926B1">
              <w:rPr>
                <w:rStyle w:val="Hyperlink"/>
                <w:rFonts w:ascii="Arial" w:eastAsia="Times New Roman" w:hAnsi="Arial" w:cs="Arial"/>
                <w:bCs/>
                <w:noProof/>
                <w:kern w:val="32"/>
              </w:rPr>
              <w:t>1</w:t>
            </w:r>
            <w:r w:rsidR="003334C8">
              <w:rPr>
                <w:noProof/>
                <w:lang w:val="en-GB" w:eastAsia="en-GB"/>
              </w:rPr>
              <w:tab/>
            </w:r>
            <w:r w:rsidR="003334C8" w:rsidRPr="00C926B1">
              <w:rPr>
                <w:rStyle w:val="Hyperlink"/>
                <w:rFonts w:ascii="Arial" w:eastAsia="Times New Roman" w:hAnsi="Arial" w:cs="Arial"/>
                <w:bCs/>
                <w:noProof/>
                <w:kern w:val="32"/>
              </w:rPr>
              <w:t>Introduction</w:t>
            </w:r>
            <w:r w:rsidR="003334C8">
              <w:rPr>
                <w:noProof/>
                <w:webHidden/>
              </w:rPr>
              <w:tab/>
            </w:r>
            <w:r w:rsidR="003334C8">
              <w:rPr>
                <w:noProof/>
                <w:webHidden/>
              </w:rPr>
              <w:fldChar w:fldCharType="begin"/>
            </w:r>
            <w:r w:rsidR="003334C8">
              <w:rPr>
                <w:noProof/>
                <w:webHidden/>
              </w:rPr>
              <w:instrText xml:space="preserve"> PAGEREF _Toc481760985 \h </w:instrText>
            </w:r>
            <w:r w:rsidR="003334C8">
              <w:rPr>
                <w:noProof/>
                <w:webHidden/>
              </w:rPr>
            </w:r>
            <w:r w:rsidR="003334C8">
              <w:rPr>
                <w:noProof/>
                <w:webHidden/>
              </w:rPr>
              <w:fldChar w:fldCharType="separate"/>
            </w:r>
            <w:r w:rsidR="00E12CD9">
              <w:rPr>
                <w:noProof/>
                <w:webHidden/>
              </w:rPr>
              <w:t>2</w:t>
            </w:r>
            <w:r w:rsidR="003334C8">
              <w:rPr>
                <w:noProof/>
                <w:webHidden/>
              </w:rPr>
              <w:fldChar w:fldCharType="end"/>
            </w:r>
          </w:hyperlink>
        </w:p>
        <w:p w:rsidR="003334C8" w:rsidRDefault="0018603F">
          <w:pPr>
            <w:pStyle w:val="TOC1"/>
            <w:tabs>
              <w:tab w:val="left" w:pos="440"/>
              <w:tab w:val="right" w:leader="dot" w:pos="9016"/>
            </w:tabs>
            <w:rPr>
              <w:noProof/>
              <w:lang w:val="en-GB" w:eastAsia="en-GB"/>
            </w:rPr>
          </w:pPr>
          <w:hyperlink w:anchor="_Toc481760986" w:history="1">
            <w:r w:rsidR="003334C8" w:rsidRPr="00C926B1">
              <w:rPr>
                <w:rStyle w:val="Hyperlink"/>
                <w:rFonts w:ascii="Arial" w:eastAsia="Times New Roman" w:hAnsi="Arial" w:cs="Arial"/>
                <w:bCs/>
                <w:noProof/>
                <w:kern w:val="32"/>
              </w:rPr>
              <w:t>2</w:t>
            </w:r>
            <w:r w:rsidR="003334C8">
              <w:rPr>
                <w:noProof/>
                <w:lang w:val="en-GB" w:eastAsia="en-GB"/>
              </w:rPr>
              <w:tab/>
            </w:r>
            <w:r w:rsidR="003334C8" w:rsidRPr="00C926B1">
              <w:rPr>
                <w:rStyle w:val="Hyperlink"/>
                <w:rFonts w:ascii="Arial" w:eastAsia="Times New Roman" w:hAnsi="Arial" w:cs="Arial"/>
                <w:bCs/>
                <w:noProof/>
                <w:kern w:val="32"/>
              </w:rPr>
              <w:t>Scheme description</w:t>
            </w:r>
            <w:r w:rsidR="003334C8">
              <w:rPr>
                <w:noProof/>
                <w:webHidden/>
              </w:rPr>
              <w:tab/>
            </w:r>
            <w:r w:rsidR="003334C8">
              <w:rPr>
                <w:noProof/>
                <w:webHidden/>
              </w:rPr>
              <w:fldChar w:fldCharType="begin"/>
            </w:r>
            <w:r w:rsidR="003334C8">
              <w:rPr>
                <w:noProof/>
                <w:webHidden/>
              </w:rPr>
              <w:instrText xml:space="preserve"> PAGEREF _Toc481760986 \h </w:instrText>
            </w:r>
            <w:r w:rsidR="003334C8">
              <w:rPr>
                <w:noProof/>
                <w:webHidden/>
              </w:rPr>
            </w:r>
            <w:r w:rsidR="003334C8">
              <w:rPr>
                <w:noProof/>
                <w:webHidden/>
              </w:rPr>
              <w:fldChar w:fldCharType="separate"/>
            </w:r>
            <w:r w:rsidR="00E12CD9">
              <w:rPr>
                <w:noProof/>
                <w:webHidden/>
              </w:rPr>
              <w:t>3</w:t>
            </w:r>
            <w:r w:rsidR="003334C8">
              <w:rPr>
                <w:noProof/>
                <w:webHidden/>
              </w:rPr>
              <w:fldChar w:fldCharType="end"/>
            </w:r>
          </w:hyperlink>
        </w:p>
        <w:p w:rsidR="003334C8" w:rsidRDefault="0018603F">
          <w:pPr>
            <w:pStyle w:val="TOC1"/>
            <w:tabs>
              <w:tab w:val="left" w:pos="440"/>
              <w:tab w:val="right" w:leader="dot" w:pos="9016"/>
            </w:tabs>
            <w:rPr>
              <w:noProof/>
              <w:lang w:val="en-GB" w:eastAsia="en-GB"/>
            </w:rPr>
          </w:pPr>
          <w:hyperlink w:anchor="_Toc481760987" w:history="1">
            <w:r w:rsidR="003334C8" w:rsidRPr="00C926B1">
              <w:rPr>
                <w:rStyle w:val="Hyperlink"/>
                <w:rFonts w:ascii="Arial" w:eastAsia="Times New Roman" w:hAnsi="Arial" w:cs="Arial"/>
                <w:bCs/>
                <w:noProof/>
                <w:kern w:val="32"/>
              </w:rPr>
              <w:t>3</w:t>
            </w:r>
            <w:r w:rsidR="003334C8">
              <w:rPr>
                <w:noProof/>
                <w:lang w:val="en-GB" w:eastAsia="en-GB"/>
              </w:rPr>
              <w:tab/>
            </w:r>
            <w:r w:rsidR="003334C8" w:rsidRPr="00C926B1">
              <w:rPr>
                <w:rStyle w:val="Hyperlink"/>
                <w:rFonts w:ascii="Arial" w:eastAsia="Times New Roman" w:hAnsi="Arial" w:cs="Arial"/>
                <w:bCs/>
                <w:noProof/>
                <w:kern w:val="32"/>
              </w:rPr>
              <w:t>Eligibility for the scheme</w:t>
            </w:r>
            <w:r w:rsidR="003334C8">
              <w:rPr>
                <w:noProof/>
                <w:webHidden/>
              </w:rPr>
              <w:tab/>
            </w:r>
            <w:r w:rsidR="003334C8">
              <w:rPr>
                <w:noProof/>
                <w:webHidden/>
              </w:rPr>
              <w:fldChar w:fldCharType="begin"/>
            </w:r>
            <w:r w:rsidR="003334C8">
              <w:rPr>
                <w:noProof/>
                <w:webHidden/>
              </w:rPr>
              <w:instrText xml:space="preserve"> PAGEREF _Toc481760987 \h </w:instrText>
            </w:r>
            <w:r w:rsidR="003334C8">
              <w:rPr>
                <w:noProof/>
                <w:webHidden/>
              </w:rPr>
            </w:r>
            <w:r w:rsidR="003334C8">
              <w:rPr>
                <w:noProof/>
                <w:webHidden/>
              </w:rPr>
              <w:fldChar w:fldCharType="separate"/>
            </w:r>
            <w:r w:rsidR="00E12CD9">
              <w:rPr>
                <w:noProof/>
                <w:webHidden/>
              </w:rPr>
              <w:t>3</w:t>
            </w:r>
            <w:r w:rsidR="003334C8">
              <w:rPr>
                <w:noProof/>
                <w:webHidden/>
              </w:rPr>
              <w:fldChar w:fldCharType="end"/>
            </w:r>
          </w:hyperlink>
        </w:p>
        <w:p w:rsidR="003334C8" w:rsidRDefault="0018603F">
          <w:pPr>
            <w:pStyle w:val="TOC1"/>
            <w:tabs>
              <w:tab w:val="left" w:pos="440"/>
              <w:tab w:val="right" w:leader="dot" w:pos="9016"/>
            </w:tabs>
            <w:rPr>
              <w:noProof/>
              <w:lang w:val="en-GB" w:eastAsia="en-GB"/>
            </w:rPr>
          </w:pPr>
          <w:hyperlink w:anchor="_Toc481760988" w:history="1">
            <w:r w:rsidR="003334C8" w:rsidRPr="00C926B1">
              <w:rPr>
                <w:rStyle w:val="Hyperlink"/>
                <w:rFonts w:ascii="Arial" w:eastAsia="Times New Roman" w:hAnsi="Arial" w:cs="Arial"/>
                <w:bCs/>
                <w:noProof/>
                <w:kern w:val="32"/>
              </w:rPr>
              <w:t>4</w:t>
            </w:r>
            <w:r w:rsidR="003334C8">
              <w:rPr>
                <w:noProof/>
                <w:lang w:val="en-GB" w:eastAsia="en-GB"/>
              </w:rPr>
              <w:tab/>
            </w:r>
            <w:r w:rsidR="003334C8" w:rsidRPr="00C926B1">
              <w:rPr>
                <w:rStyle w:val="Hyperlink"/>
                <w:rFonts w:ascii="Arial" w:eastAsia="Times New Roman" w:hAnsi="Arial" w:cs="Arial"/>
                <w:bCs/>
                <w:noProof/>
                <w:kern w:val="32"/>
              </w:rPr>
              <w:t>HEE expectations of practices</w:t>
            </w:r>
            <w:r w:rsidR="003334C8">
              <w:rPr>
                <w:noProof/>
                <w:webHidden/>
              </w:rPr>
              <w:tab/>
            </w:r>
            <w:r w:rsidR="003334C8">
              <w:rPr>
                <w:noProof/>
                <w:webHidden/>
              </w:rPr>
              <w:fldChar w:fldCharType="begin"/>
            </w:r>
            <w:r w:rsidR="003334C8">
              <w:rPr>
                <w:noProof/>
                <w:webHidden/>
              </w:rPr>
              <w:instrText xml:space="preserve"> PAGEREF _Toc481760988 \h </w:instrText>
            </w:r>
            <w:r w:rsidR="003334C8">
              <w:rPr>
                <w:noProof/>
                <w:webHidden/>
              </w:rPr>
            </w:r>
            <w:r w:rsidR="003334C8">
              <w:rPr>
                <w:noProof/>
                <w:webHidden/>
              </w:rPr>
              <w:fldChar w:fldCharType="separate"/>
            </w:r>
            <w:r w:rsidR="00E12CD9">
              <w:rPr>
                <w:noProof/>
                <w:webHidden/>
              </w:rPr>
              <w:t>3</w:t>
            </w:r>
            <w:r w:rsidR="003334C8">
              <w:rPr>
                <w:noProof/>
                <w:webHidden/>
              </w:rPr>
              <w:fldChar w:fldCharType="end"/>
            </w:r>
          </w:hyperlink>
        </w:p>
        <w:p w:rsidR="003334C8" w:rsidRDefault="0018603F">
          <w:pPr>
            <w:pStyle w:val="TOC1"/>
            <w:tabs>
              <w:tab w:val="left" w:pos="440"/>
              <w:tab w:val="right" w:leader="dot" w:pos="9016"/>
            </w:tabs>
            <w:rPr>
              <w:noProof/>
              <w:lang w:val="en-GB" w:eastAsia="en-GB"/>
            </w:rPr>
          </w:pPr>
          <w:hyperlink w:anchor="_Toc481760989" w:history="1">
            <w:r w:rsidR="003334C8" w:rsidRPr="00C926B1">
              <w:rPr>
                <w:rStyle w:val="Hyperlink"/>
                <w:rFonts w:ascii="Arial" w:eastAsia="Times New Roman" w:hAnsi="Arial" w:cs="Arial"/>
                <w:bCs/>
                <w:noProof/>
                <w:kern w:val="32"/>
              </w:rPr>
              <w:t>5</w:t>
            </w:r>
            <w:r w:rsidR="003334C8">
              <w:rPr>
                <w:noProof/>
                <w:lang w:val="en-GB" w:eastAsia="en-GB"/>
              </w:rPr>
              <w:tab/>
            </w:r>
            <w:r w:rsidR="003334C8" w:rsidRPr="00C926B1">
              <w:rPr>
                <w:rStyle w:val="Hyperlink"/>
                <w:rFonts w:ascii="Arial" w:eastAsia="Times New Roman" w:hAnsi="Arial" w:cs="Arial"/>
                <w:bCs/>
                <w:noProof/>
                <w:kern w:val="32"/>
              </w:rPr>
              <w:t>Practice support for GPN Ready Scheme</w:t>
            </w:r>
            <w:r w:rsidR="003334C8">
              <w:rPr>
                <w:noProof/>
                <w:webHidden/>
              </w:rPr>
              <w:tab/>
            </w:r>
            <w:r w:rsidR="003334C8">
              <w:rPr>
                <w:noProof/>
                <w:webHidden/>
              </w:rPr>
              <w:fldChar w:fldCharType="begin"/>
            </w:r>
            <w:r w:rsidR="003334C8">
              <w:rPr>
                <w:noProof/>
                <w:webHidden/>
              </w:rPr>
              <w:instrText xml:space="preserve"> PAGEREF _Toc481760989 \h </w:instrText>
            </w:r>
            <w:r w:rsidR="003334C8">
              <w:rPr>
                <w:noProof/>
                <w:webHidden/>
              </w:rPr>
            </w:r>
            <w:r w:rsidR="003334C8">
              <w:rPr>
                <w:noProof/>
                <w:webHidden/>
              </w:rPr>
              <w:fldChar w:fldCharType="separate"/>
            </w:r>
            <w:r w:rsidR="00E12CD9">
              <w:rPr>
                <w:noProof/>
                <w:webHidden/>
              </w:rPr>
              <w:t>4</w:t>
            </w:r>
            <w:r w:rsidR="003334C8">
              <w:rPr>
                <w:noProof/>
                <w:webHidden/>
              </w:rPr>
              <w:fldChar w:fldCharType="end"/>
            </w:r>
          </w:hyperlink>
        </w:p>
        <w:p w:rsidR="003334C8" w:rsidRDefault="0018603F">
          <w:pPr>
            <w:pStyle w:val="TOC1"/>
            <w:tabs>
              <w:tab w:val="left" w:pos="440"/>
              <w:tab w:val="right" w:leader="dot" w:pos="9016"/>
            </w:tabs>
            <w:rPr>
              <w:noProof/>
              <w:lang w:val="en-GB" w:eastAsia="en-GB"/>
            </w:rPr>
          </w:pPr>
          <w:hyperlink w:anchor="_Toc481760990" w:history="1">
            <w:r w:rsidR="003334C8" w:rsidRPr="00C926B1">
              <w:rPr>
                <w:rStyle w:val="Hyperlink"/>
                <w:rFonts w:ascii="Arial" w:eastAsia="Times New Roman" w:hAnsi="Arial" w:cs="Arial"/>
                <w:bCs/>
                <w:noProof/>
                <w:kern w:val="32"/>
              </w:rPr>
              <w:t>6</w:t>
            </w:r>
            <w:r w:rsidR="003334C8">
              <w:rPr>
                <w:noProof/>
                <w:lang w:val="en-GB" w:eastAsia="en-GB"/>
              </w:rPr>
              <w:tab/>
            </w:r>
            <w:r w:rsidR="003334C8" w:rsidRPr="00C926B1">
              <w:rPr>
                <w:rStyle w:val="Hyperlink"/>
                <w:rFonts w:ascii="Arial" w:eastAsia="Times New Roman" w:hAnsi="Arial" w:cs="Arial"/>
                <w:bCs/>
                <w:noProof/>
                <w:kern w:val="32"/>
              </w:rPr>
              <w:t>Financial support available</w:t>
            </w:r>
            <w:r w:rsidR="003334C8">
              <w:rPr>
                <w:noProof/>
                <w:webHidden/>
              </w:rPr>
              <w:tab/>
            </w:r>
            <w:r w:rsidR="003334C8">
              <w:rPr>
                <w:noProof/>
                <w:webHidden/>
              </w:rPr>
              <w:fldChar w:fldCharType="begin"/>
            </w:r>
            <w:r w:rsidR="003334C8">
              <w:rPr>
                <w:noProof/>
                <w:webHidden/>
              </w:rPr>
              <w:instrText xml:space="preserve"> PAGEREF _Toc481760990 \h </w:instrText>
            </w:r>
            <w:r w:rsidR="003334C8">
              <w:rPr>
                <w:noProof/>
                <w:webHidden/>
              </w:rPr>
            </w:r>
            <w:r w:rsidR="003334C8">
              <w:rPr>
                <w:noProof/>
                <w:webHidden/>
              </w:rPr>
              <w:fldChar w:fldCharType="separate"/>
            </w:r>
            <w:r w:rsidR="00E12CD9">
              <w:rPr>
                <w:noProof/>
                <w:webHidden/>
              </w:rPr>
              <w:t>5</w:t>
            </w:r>
            <w:r w:rsidR="003334C8">
              <w:rPr>
                <w:noProof/>
                <w:webHidden/>
              </w:rPr>
              <w:fldChar w:fldCharType="end"/>
            </w:r>
          </w:hyperlink>
        </w:p>
        <w:p w:rsidR="003334C8" w:rsidRDefault="0018603F" w:rsidP="003334C8">
          <w:pPr>
            <w:pStyle w:val="TOC2"/>
            <w:rPr>
              <w:noProof/>
              <w:lang w:val="en-GB" w:eastAsia="en-GB"/>
            </w:rPr>
          </w:pPr>
          <w:hyperlink w:anchor="_Toc481760991" w:history="1">
            <w:r w:rsidR="003334C8" w:rsidRPr="00C926B1">
              <w:rPr>
                <w:rStyle w:val="Hyperlink"/>
                <w:rFonts w:ascii="Arial" w:eastAsia="Times New Roman" w:hAnsi="Arial" w:cs="Arial"/>
                <w:noProof/>
              </w:rPr>
              <w:t>6.1</w:t>
            </w:r>
            <w:r w:rsidR="00DA2803">
              <w:rPr>
                <w:noProof/>
                <w:lang w:val="en-GB" w:eastAsia="en-GB"/>
              </w:rPr>
              <w:t xml:space="preserve">   </w:t>
            </w:r>
            <w:r w:rsidR="003334C8" w:rsidRPr="00C926B1">
              <w:rPr>
                <w:rStyle w:val="Hyperlink"/>
                <w:rFonts w:ascii="Arial" w:eastAsia="Times New Roman" w:hAnsi="Arial" w:cs="Arial"/>
                <w:noProof/>
              </w:rPr>
              <w:t>Utilisation</w:t>
            </w:r>
            <w:r w:rsidR="003334C8">
              <w:rPr>
                <w:noProof/>
                <w:webHidden/>
              </w:rPr>
              <w:tab/>
            </w:r>
            <w:r w:rsidR="003334C8">
              <w:rPr>
                <w:noProof/>
                <w:webHidden/>
              </w:rPr>
              <w:fldChar w:fldCharType="begin"/>
            </w:r>
            <w:r w:rsidR="003334C8">
              <w:rPr>
                <w:noProof/>
                <w:webHidden/>
              </w:rPr>
              <w:instrText xml:space="preserve"> PAGEREF _Toc481760991 \h </w:instrText>
            </w:r>
            <w:r w:rsidR="003334C8">
              <w:rPr>
                <w:noProof/>
                <w:webHidden/>
              </w:rPr>
            </w:r>
            <w:r w:rsidR="003334C8">
              <w:rPr>
                <w:noProof/>
                <w:webHidden/>
              </w:rPr>
              <w:fldChar w:fldCharType="separate"/>
            </w:r>
            <w:r w:rsidR="00E12CD9">
              <w:rPr>
                <w:noProof/>
                <w:webHidden/>
              </w:rPr>
              <w:t>5</w:t>
            </w:r>
            <w:r w:rsidR="003334C8">
              <w:rPr>
                <w:noProof/>
                <w:webHidden/>
              </w:rPr>
              <w:fldChar w:fldCharType="end"/>
            </w:r>
          </w:hyperlink>
        </w:p>
        <w:p w:rsidR="003334C8" w:rsidRDefault="0018603F">
          <w:pPr>
            <w:pStyle w:val="TOC1"/>
            <w:tabs>
              <w:tab w:val="left" w:pos="440"/>
              <w:tab w:val="right" w:leader="dot" w:pos="9016"/>
            </w:tabs>
            <w:rPr>
              <w:rStyle w:val="Hyperlink"/>
              <w:noProof/>
            </w:rPr>
          </w:pPr>
          <w:hyperlink w:anchor="_Toc481760992" w:history="1">
            <w:r w:rsidR="003334C8" w:rsidRPr="00C926B1">
              <w:rPr>
                <w:rStyle w:val="Hyperlink"/>
                <w:rFonts w:ascii="Arial" w:eastAsia="Times New Roman" w:hAnsi="Arial" w:cs="Arial"/>
                <w:bCs/>
                <w:noProof/>
                <w:kern w:val="32"/>
              </w:rPr>
              <w:t>7</w:t>
            </w:r>
            <w:r w:rsidR="003334C8">
              <w:rPr>
                <w:noProof/>
                <w:lang w:val="en-GB" w:eastAsia="en-GB"/>
              </w:rPr>
              <w:tab/>
            </w:r>
            <w:r w:rsidR="003334C8" w:rsidRPr="00C926B1">
              <w:rPr>
                <w:rStyle w:val="Hyperlink"/>
                <w:rFonts w:ascii="Arial" w:eastAsia="Times New Roman" w:hAnsi="Arial" w:cs="Arial"/>
                <w:bCs/>
                <w:noProof/>
                <w:kern w:val="32"/>
              </w:rPr>
              <w:t>Frequency Asked Questions (FAQs)</w:t>
            </w:r>
            <w:r w:rsidR="003334C8">
              <w:rPr>
                <w:noProof/>
                <w:webHidden/>
              </w:rPr>
              <w:tab/>
            </w:r>
            <w:r w:rsidR="003334C8">
              <w:rPr>
                <w:noProof/>
                <w:webHidden/>
              </w:rPr>
              <w:fldChar w:fldCharType="begin"/>
            </w:r>
            <w:r w:rsidR="003334C8">
              <w:rPr>
                <w:noProof/>
                <w:webHidden/>
              </w:rPr>
              <w:instrText xml:space="preserve"> PAGEREF _Toc481760992 \h </w:instrText>
            </w:r>
            <w:r w:rsidR="003334C8">
              <w:rPr>
                <w:noProof/>
                <w:webHidden/>
              </w:rPr>
            </w:r>
            <w:r w:rsidR="003334C8">
              <w:rPr>
                <w:noProof/>
                <w:webHidden/>
              </w:rPr>
              <w:fldChar w:fldCharType="separate"/>
            </w:r>
            <w:r w:rsidR="00E12CD9">
              <w:rPr>
                <w:noProof/>
                <w:webHidden/>
              </w:rPr>
              <w:t>6</w:t>
            </w:r>
            <w:r w:rsidR="003334C8">
              <w:rPr>
                <w:noProof/>
                <w:webHidden/>
              </w:rPr>
              <w:fldChar w:fldCharType="end"/>
            </w:r>
          </w:hyperlink>
        </w:p>
        <w:p w:rsidR="003334C8" w:rsidRPr="003334C8" w:rsidRDefault="003334C8" w:rsidP="003334C8">
          <w:pPr>
            <w:rPr>
              <w:noProof/>
              <w:lang w:val="en-US" w:eastAsia="ja-JP"/>
            </w:rPr>
          </w:pPr>
        </w:p>
        <w:p w:rsidR="003334C8" w:rsidRDefault="0018603F">
          <w:pPr>
            <w:pStyle w:val="TOC1"/>
            <w:tabs>
              <w:tab w:val="right" w:leader="dot" w:pos="9016"/>
            </w:tabs>
            <w:rPr>
              <w:noProof/>
              <w:lang w:val="en-GB" w:eastAsia="en-GB"/>
            </w:rPr>
          </w:pPr>
          <w:hyperlink w:anchor="_Toc481760993" w:history="1">
            <w:r w:rsidR="003334C8" w:rsidRPr="00C926B1">
              <w:rPr>
                <w:rStyle w:val="Hyperlink"/>
                <w:rFonts w:ascii="Arial" w:eastAsia="Times New Roman" w:hAnsi="Arial" w:cs="Arial"/>
                <w:bCs/>
                <w:noProof/>
                <w:kern w:val="32"/>
              </w:rPr>
              <w:t>Appendix 1: How the scheme will be assessed</w:t>
            </w:r>
            <w:r w:rsidR="003334C8">
              <w:rPr>
                <w:noProof/>
                <w:webHidden/>
              </w:rPr>
              <w:tab/>
            </w:r>
            <w:r w:rsidR="003334C8">
              <w:rPr>
                <w:noProof/>
                <w:webHidden/>
              </w:rPr>
              <w:fldChar w:fldCharType="begin"/>
            </w:r>
            <w:r w:rsidR="003334C8">
              <w:rPr>
                <w:noProof/>
                <w:webHidden/>
              </w:rPr>
              <w:instrText xml:space="preserve"> PAGEREF _Toc481760993 \h </w:instrText>
            </w:r>
            <w:r w:rsidR="003334C8">
              <w:rPr>
                <w:noProof/>
                <w:webHidden/>
              </w:rPr>
            </w:r>
            <w:r w:rsidR="003334C8">
              <w:rPr>
                <w:noProof/>
                <w:webHidden/>
              </w:rPr>
              <w:fldChar w:fldCharType="separate"/>
            </w:r>
            <w:r w:rsidR="00E12CD9">
              <w:rPr>
                <w:noProof/>
                <w:webHidden/>
              </w:rPr>
              <w:t>9</w:t>
            </w:r>
            <w:r w:rsidR="003334C8">
              <w:rPr>
                <w:noProof/>
                <w:webHidden/>
              </w:rPr>
              <w:fldChar w:fldCharType="end"/>
            </w:r>
          </w:hyperlink>
        </w:p>
        <w:p w:rsidR="003334C8" w:rsidRDefault="0018603F">
          <w:pPr>
            <w:pStyle w:val="TOC1"/>
            <w:tabs>
              <w:tab w:val="right" w:leader="dot" w:pos="9016"/>
            </w:tabs>
            <w:rPr>
              <w:noProof/>
              <w:lang w:val="en-GB" w:eastAsia="en-GB"/>
            </w:rPr>
          </w:pPr>
          <w:hyperlink w:anchor="_Toc481760994" w:history="1">
            <w:r w:rsidR="00EB66CE">
              <w:rPr>
                <w:rStyle w:val="Hyperlink"/>
                <w:rFonts w:ascii="Arial" w:eastAsia="Times New Roman" w:hAnsi="Arial" w:cs="Arial"/>
                <w:bCs/>
                <w:noProof/>
                <w:kern w:val="32"/>
              </w:rPr>
              <w:t>Appendix 2: PCWTH</w:t>
            </w:r>
            <w:r w:rsidR="003334C8" w:rsidRPr="00C926B1">
              <w:rPr>
                <w:rStyle w:val="Hyperlink"/>
                <w:rFonts w:ascii="Arial" w:eastAsia="Times New Roman" w:hAnsi="Arial" w:cs="Arial"/>
                <w:bCs/>
                <w:noProof/>
                <w:kern w:val="32"/>
              </w:rPr>
              <w:t xml:space="preserve"> visit checklist</w:t>
            </w:r>
            <w:r w:rsidR="003334C8">
              <w:rPr>
                <w:noProof/>
                <w:webHidden/>
              </w:rPr>
              <w:tab/>
            </w:r>
            <w:r w:rsidR="003334C8">
              <w:rPr>
                <w:noProof/>
                <w:webHidden/>
              </w:rPr>
              <w:fldChar w:fldCharType="begin"/>
            </w:r>
            <w:r w:rsidR="003334C8">
              <w:rPr>
                <w:noProof/>
                <w:webHidden/>
              </w:rPr>
              <w:instrText xml:space="preserve"> PAGEREF _Toc481760994 \h </w:instrText>
            </w:r>
            <w:r w:rsidR="003334C8">
              <w:rPr>
                <w:noProof/>
                <w:webHidden/>
              </w:rPr>
            </w:r>
            <w:r w:rsidR="003334C8">
              <w:rPr>
                <w:noProof/>
                <w:webHidden/>
              </w:rPr>
              <w:fldChar w:fldCharType="separate"/>
            </w:r>
            <w:r w:rsidR="00E12CD9">
              <w:rPr>
                <w:noProof/>
                <w:webHidden/>
              </w:rPr>
              <w:t>9</w:t>
            </w:r>
            <w:r w:rsidR="003334C8">
              <w:rPr>
                <w:noProof/>
                <w:webHidden/>
              </w:rPr>
              <w:fldChar w:fldCharType="end"/>
            </w:r>
          </w:hyperlink>
        </w:p>
        <w:p w:rsidR="003334C8" w:rsidRDefault="0018603F">
          <w:pPr>
            <w:pStyle w:val="TOC1"/>
            <w:tabs>
              <w:tab w:val="right" w:leader="dot" w:pos="9016"/>
            </w:tabs>
            <w:rPr>
              <w:noProof/>
              <w:lang w:val="en-GB" w:eastAsia="en-GB"/>
            </w:rPr>
          </w:pPr>
          <w:hyperlink w:anchor="_Toc481760995" w:history="1">
            <w:r w:rsidR="003334C8" w:rsidRPr="00C926B1">
              <w:rPr>
                <w:rStyle w:val="Hyperlink"/>
                <w:rFonts w:ascii="Arial" w:eastAsia="Times New Roman" w:hAnsi="Arial" w:cs="Arial"/>
                <w:bCs/>
                <w:noProof/>
                <w:kern w:val="32"/>
              </w:rPr>
              <w:t>Appendix 3: Declaration of consideration for the scheme</w:t>
            </w:r>
            <w:r w:rsidR="003334C8">
              <w:rPr>
                <w:noProof/>
                <w:webHidden/>
              </w:rPr>
              <w:tab/>
            </w:r>
            <w:r w:rsidR="003334C8">
              <w:rPr>
                <w:noProof/>
                <w:webHidden/>
              </w:rPr>
              <w:fldChar w:fldCharType="begin"/>
            </w:r>
            <w:r w:rsidR="003334C8">
              <w:rPr>
                <w:noProof/>
                <w:webHidden/>
              </w:rPr>
              <w:instrText xml:space="preserve"> PAGEREF _Toc481760995 \h </w:instrText>
            </w:r>
            <w:r w:rsidR="003334C8">
              <w:rPr>
                <w:noProof/>
                <w:webHidden/>
              </w:rPr>
            </w:r>
            <w:r w:rsidR="003334C8">
              <w:rPr>
                <w:noProof/>
                <w:webHidden/>
              </w:rPr>
              <w:fldChar w:fldCharType="separate"/>
            </w:r>
            <w:r w:rsidR="00E12CD9">
              <w:rPr>
                <w:noProof/>
                <w:webHidden/>
              </w:rPr>
              <w:t>10</w:t>
            </w:r>
            <w:r w:rsidR="003334C8">
              <w:rPr>
                <w:noProof/>
                <w:webHidden/>
              </w:rPr>
              <w:fldChar w:fldCharType="end"/>
            </w:r>
          </w:hyperlink>
        </w:p>
        <w:p w:rsidR="004A4B75" w:rsidRDefault="004A4B75">
          <w:r>
            <w:rPr>
              <w:b/>
              <w:noProof/>
            </w:rPr>
            <w:fldChar w:fldCharType="end"/>
          </w:r>
        </w:p>
      </w:sdtContent>
    </w:sdt>
    <w:p w:rsidR="00F1146C" w:rsidRDefault="00F1146C" w:rsidP="00F1146C">
      <w:pPr>
        <w:pStyle w:val="Heading2"/>
        <w:numPr>
          <w:ilvl w:val="0"/>
          <w:numId w:val="0"/>
        </w:numPr>
        <w:ind w:left="576"/>
      </w:pPr>
    </w:p>
    <w:p w:rsidR="004A4B75" w:rsidRPr="004A4B75" w:rsidRDefault="004A4B75" w:rsidP="004A4B75"/>
    <w:p w:rsidR="00575E9B" w:rsidRPr="00F1146C" w:rsidRDefault="00575E9B" w:rsidP="00F1146C">
      <w:pPr>
        <w:pStyle w:val="Heading1"/>
        <w:keepNext w:val="0"/>
        <w:keepLines w:val="0"/>
        <w:spacing w:before="0"/>
        <w:rPr>
          <w:rFonts w:ascii="Arial" w:eastAsia="Times New Roman" w:hAnsi="Arial" w:cs="Arial"/>
          <w:bCs/>
          <w:color w:val="0072C6"/>
          <w:kern w:val="32"/>
          <w:sz w:val="32"/>
          <w:szCs w:val="32"/>
        </w:rPr>
      </w:pPr>
      <w:bookmarkStart w:id="0" w:name="_Toc481760985"/>
      <w:r w:rsidRPr="00F1146C">
        <w:rPr>
          <w:rFonts w:ascii="Arial" w:eastAsia="Times New Roman" w:hAnsi="Arial" w:cs="Arial"/>
          <w:bCs/>
          <w:color w:val="0072C6"/>
          <w:kern w:val="32"/>
          <w:sz w:val="32"/>
          <w:szCs w:val="32"/>
        </w:rPr>
        <w:t>Introduction</w:t>
      </w:r>
      <w:bookmarkEnd w:id="0"/>
    </w:p>
    <w:p w:rsidR="00575E9B" w:rsidRPr="004D1691" w:rsidRDefault="00575E9B" w:rsidP="00F1146C">
      <w:pPr>
        <w:spacing w:before="120" w:after="120" w:line="276" w:lineRule="auto"/>
        <w:ind w:left="432"/>
        <w:rPr>
          <w:sz w:val="22"/>
          <w:szCs w:val="22"/>
        </w:rPr>
      </w:pPr>
      <w:r w:rsidRPr="004D1691">
        <w:rPr>
          <w:sz w:val="22"/>
          <w:szCs w:val="22"/>
        </w:rPr>
        <w:t>A 2016 QNI report1 highlighted that 33.4% of General Practice Nurses are due to retire by 2020.  Additionally preferred recruitment strategies within primary care regarding of replacement of experienced staff include ‘recycling and poaching’ other experienced staff from neighbouring practices rather than taking either non-primary care experience staff or newly qualified nursing staff.</w:t>
      </w:r>
    </w:p>
    <w:p w:rsidR="00575E9B" w:rsidRPr="004D1691" w:rsidRDefault="00575E9B" w:rsidP="00F1146C">
      <w:pPr>
        <w:spacing w:before="120" w:after="120" w:line="276" w:lineRule="auto"/>
        <w:ind w:left="432"/>
        <w:rPr>
          <w:sz w:val="22"/>
          <w:szCs w:val="22"/>
        </w:rPr>
      </w:pPr>
      <w:r w:rsidRPr="004D1691">
        <w:rPr>
          <w:sz w:val="22"/>
          <w:szCs w:val="22"/>
        </w:rPr>
        <w:t>During 2016/17 Health Education England in Yorkshire and the Humber decided to design a scheme which encouraged those general practices that were willing to appoint a new NMC registered nurse and develop them over a period of two years to become proficient general practice nurses (GPNs).</w:t>
      </w:r>
    </w:p>
    <w:p w:rsidR="00575E9B" w:rsidRDefault="00575E9B" w:rsidP="00F1146C">
      <w:pPr>
        <w:spacing w:before="120" w:after="120" w:line="276" w:lineRule="auto"/>
        <w:ind w:left="432"/>
        <w:rPr>
          <w:sz w:val="22"/>
          <w:szCs w:val="22"/>
        </w:rPr>
      </w:pPr>
      <w:r w:rsidRPr="004D1691">
        <w:rPr>
          <w:sz w:val="22"/>
          <w:szCs w:val="22"/>
        </w:rPr>
        <w:t xml:space="preserve">Although newly qualified nurses are deemed fit to practice at the point of registration (within any environment where nursing activity occurs), this is always within the scope of their particular skills and experience.  Given that less than </w:t>
      </w:r>
      <w:r>
        <w:rPr>
          <w:sz w:val="22"/>
          <w:szCs w:val="22"/>
        </w:rPr>
        <w:t>33</w:t>
      </w:r>
      <w:r w:rsidRPr="004D1691">
        <w:rPr>
          <w:sz w:val="22"/>
          <w:szCs w:val="22"/>
        </w:rPr>
        <w:t>% of nurses in training across Yorkshire and the Humber experience a primary care placement during their training, those with the experience/knowledge of primary care role will be limited.  Therefore it is likely that a newly qualified nurse may need in-house or external education/training to bring them up to speed in their new role.</w:t>
      </w:r>
    </w:p>
    <w:p w:rsidR="00A05404" w:rsidRPr="00A05404" w:rsidRDefault="00A05404" w:rsidP="00F1146C">
      <w:pPr>
        <w:spacing w:line="276" w:lineRule="auto"/>
        <w:ind w:left="432"/>
        <w:rPr>
          <w:sz w:val="22"/>
          <w:szCs w:val="22"/>
        </w:rPr>
      </w:pPr>
      <w:r>
        <w:rPr>
          <w:sz w:val="22"/>
          <w:szCs w:val="22"/>
        </w:rPr>
        <w:t xml:space="preserve">The GPN </w:t>
      </w:r>
      <w:r w:rsidR="00CB10AF">
        <w:rPr>
          <w:sz w:val="22"/>
          <w:szCs w:val="22"/>
        </w:rPr>
        <w:t xml:space="preserve">Ready Scheme </w:t>
      </w:r>
      <w:r w:rsidR="00BB51B6">
        <w:rPr>
          <w:sz w:val="22"/>
          <w:szCs w:val="22"/>
        </w:rPr>
        <w:t>2019-20</w:t>
      </w:r>
      <w:r>
        <w:rPr>
          <w:sz w:val="22"/>
          <w:szCs w:val="22"/>
        </w:rPr>
        <w:t xml:space="preserve"> offers general practice’s financial support for education and training during the preceptorship period for newly registered (within the last 9 months) NMC nurses or Return-to-Practice nurses who are new to the primary care environment.</w:t>
      </w:r>
    </w:p>
    <w:p w:rsidR="00575E9B" w:rsidRDefault="00575E9B" w:rsidP="00575E9B">
      <w:pPr>
        <w:spacing w:before="120" w:after="120" w:line="276" w:lineRule="auto"/>
        <w:rPr>
          <w:sz w:val="22"/>
          <w:szCs w:val="22"/>
        </w:rPr>
      </w:pPr>
    </w:p>
    <w:p w:rsidR="00575E9B" w:rsidRDefault="00097B95" w:rsidP="00F1146C">
      <w:pPr>
        <w:pStyle w:val="Heading1"/>
        <w:keepNext w:val="0"/>
        <w:keepLines w:val="0"/>
        <w:spacing w:before="0"/>
        <w:rPr>
          <w:rFonts w:ascii="Arial" w:eastAsia="Times New Roman" w:hAnsi="Arial" w:cs="Arial"/>
          <w:bCs/>
          <w:color w:val="0072C6"/>
          <w:kern w:val="32"/>
          <w:sz w:val="32"/>
          <w:szCs w:val="32"/>
        </w:rPr>
      </w:pPr>
      <w:bookmarkStart w:id="1" w:name="_Toc481760986"/>
      <w:r>
        <w:rPr>
          <w:rFonts w:ascii="Arial" w:eastAsia="Times New Roman" w:hAnsi="Arial" w:cs="Arial"/>
          <w:bCs/>
          <w:color w:val="0072C6"/>
          <w:kern w:val="32"/>
          <w:sz w:val="32"/>
          <w:szCs w:val="32"/>
        </w:rPr>
        <w:lastRenderedPageBreak/>
        <w:t>Scheme D</w:t>
      </w:r>
      <w:r w:rsidR="00575E9B" w:rsidRPr="00F1146C">
        <w:rPr>
          <w:rFonts w:ascii="Arial" w:eastAsia="Times New Roman" w:hAnsi="Arial" w:cs="Arial"/>
          <w:bCs/>
          <w:color w:val="0072C6"/>
          <w:kern w:val="32"/>
          <w:sz w:val="32"/>
          <w:szCs w:val="32"/>
        </w:rPr>
        <w:t>escription</w:t>
      </w:r>
      <w:bookmarkEnd w:id="1"/>
    </w:p>
    <w:p w:rsidR="00F1146C" w:rsidRPr="00F1146C" w:rsidRDefault="00F1146C" w:rsidP="00F1146C"/>
    <w:p w:rsidR="00091AB0" w:rsidRPr="00091AB0" w:rsidRDefault="00575E9B" w:rsidP="00F1146C">
      <w:pPr>
        <w:spacing w:line="276" w:lineRule="auto"/>
        <w:ind w:left="432"/>
        <w:rPr>
          <w:sz w:val="22"/>
          <w:szCs w:val="22"/>
        </w:rPr>
      </w:pPr>
      <w:r w:rsidRPr="00091AB0">
        <w:rPr>
          <w:sz w:val="22"/>
          <w:szCs w:val="22"/>
        </w:rPr>
        <w:t xml:space="preserve">To assist general practices in taking this step of considering the appointment of a new NMC registered nurse or a return-to-practice nurse, HEE is offering a financial incentive of up to £8k </w:t>
      </w:r>
      <w:r w:rsidR="00DE208E" w:rsidRPr="00091AB0">
        <w:rPr>
          <w:sz w:val="22"/>
          <w:szCs w:val="22"/>
        </w:rPr>
        <w:t>over a tw</w:t>
      </w:r>
      <w:r w:rsidR="00091AB0" w:rsidRPr="00091AB0">
        <w:rPr>
          <w:sz w:val="22"/>
          <w:szCs w:val="22"/>
        </w:rPr>
        <w:t xml:space="preserve">o year period for a FTE nurse.  </w:t>
      </w:r>
    </w:p>
    <w:p w:rsidR="00091AB0" w:rsidRPr="00091AB0" w:rsidRDefault="00091AB0" w:rsidP="00F1146C">
      <w:pPr>
        <w:spacing w:line="276" w:lineRule="auto"/>
        <w:ind w:left="432"/>
        <w:rPr>
          <w:sz w:val="22"/>
          <w:szCs w:val="22"/>
        </w:rPr>
      </w:pPr>
    </w:p>
    <w:p w:rsidR="00091AB0" w:rsidRPr="00091AB0" w:rsidRDefault="00575E9B" w:rsidP="00F1146C">
      <w:pPr>
        <w:spacing w:line="276" w:lineRule="auto"/>
        <w:ind w:left="432"/>
        <w:rPr>
          <w:sz w:val="22"/>
          <w:szCs w:val="22"/>
        </w:rPr>
      </w:pPr>
      <w:r w:rsidRPr="00091AB0">
        <w:rPr>
          <w:sz w:val="22"/>
          <w:szCs w:val="22"/>
        </w:rPr>
        <w:t xml:space="preserve">The purpose of the incentive was to support the </w:t>
      </w:r>
      <w:r w:rsidR="00F1146C">
        <w:rPr>
          <w:sz w:val="22"/>
          <w:szCs w:val="22"/>
        </w:rPr>
        <w:t>education and training of their new general practice nurse (GPN)</w:t>
      </w:r>
      <w:r w:rsidRPr="00091AB0">
        <w:rPr>
          <w:sz w:val="22"/>
          <w:szCs w:val="22"/>
        </w:rPr>
        <w:t xml:space="preserve"> over their first two years of employment.  </w:t>
      </w:r>
    </w:p>
    <w:p w:rsidR="00091AB0" w:rsidRPr="00091AB0" w:rsidRDefault="00091AB0" w:rsidP="00F1146C">
      <w:pPr>
        <w:spacing w:line="276" w:lineRule="auto"/>
        <w:ind w:left="432"/>
        <w:rPr>
          <w:sz w:val="22"/>
          <w:szCs w:val="22"/>
        </w:rPr>
      </w:pPr>
    </w:p>
    <w:p w:rsidR="00575E9B" w:rsidRDefault="00575E9B" w:rsidP="00F1146C">
      <w:pPr>
        <w:spacing w:line="276" w:lineRule="auto"/>
        <w:ind w:left="432"/>
        <w:rPr>
          <w:sz w:val="22"/>
          <w:szCs w:val="22"/>
        </w:rPr>
      </w:pPr>
      <w:r w:rsidRPr="00091AB0">
        <w:rPr>
          <w:sz w:val="22"/>
          <w:szCs w:val="22"/>
        </w:rPr>
        <w:t xml:space="preserve">Expectations of the scheme included that a practice would develop an educational plan for the new GPN which included attendance an NMC approved mentorship programme (often called Supporting Learning in Practice or </w:t>
      </w:r>
      <w:proofErr w:type="spellStart"/>
      <w:r w:rsidRPr="00091AB0">
        <w:rPr>
          <w:sz w:val="22"/>
          <w:szCs w:val="22"/>
        </w:rPr>
        <w:t>SLiP</w:t>
      </w:r>
      <w:proofErr w:type="spellEnd"/>
      <w:r w:rsidRPr="00091AB0">
        <w:rPr>
          <w:sz w:val="22"/>
          <w:szCs w:val="22"/>
        </w:rPr>
        <w:t>) in year two of their employment.</w:t>
      </w:r>
      <w:r w:rsidR="008B30C9">
        <w:rPr>
          <w:sz w:val="22"/>
          <w:szCs w:val="22"/>
        </w:rPr>
        <w:t xml:space="preserve">  Additionally they have a named appropriate supervisor.</w:t>
      </w:r>
    </w:p>
    <w:p w:rsidR="00E12CD9" w:rsidRDefault="00E12CD9" w:rsidP="00F1146C">
      <w:pPr>
        <w:spacing w:line="276" w:lineRule="auto"/>
        <w:ind w:left="432"/>
        <w:rPr>
          <w:sz w:val="22"/>
          <w:szCs w:val="22"/>
        </w:rPr>
      </w:pPr>
    </w:p>
    <w:p w:rsidR="00E12CD9" w:rsidRPr="00E12CD9" w:rsidRDefault="00E12CD9" w:rsidP="00E12CD9">
      <w:pPr>
        <w:spacing w:before="60" w:after="60" w:line="276" w:lineRule="auto"/>
        <w:ind w:firstLine="360"/>
        <w:rPr>
          <w:b/>
          <w:sz w:val="20"/>
          <w:szCs w:val="22"/>
        </w:rPr>
      </w:pPr>
      <w:r w:rsidRPr="00E12CD9">
        <w:rPr>
          <w:b/>
          <w:sz w:val="20"/>
          <w:szCs w:val="22"/>
        </w:rPr>
        <w:t>DEFINITIONS:</w:t>
      </w:r>
    </w:p>
    <w:p w:rsidR="00E12CD9" w:rsidRDefault="00E12CD9" w:rsidP="00E12CD9">
      <w:pPr>
        <w:pStyle w:val="ListParagraph"/>
        <w:numPr>
          <w:ilvl w:val="0"/>
          <w:numId w:val="44"/>
        </w:numPr>
        <w:spacing w:before="60" w:after="60" w:line="276" w:lineRule="auto"/>
        <w:ind w:left="720"/>
        <w:rPr>
          <w:sz w:val="22"/>
          <w:szCs w:val="22"/>
        </w:rPr>
      </w:pPr>
      <w:r w:rsidRPr="00E12CD9">
        <w:rPr>
          <w:sz w:val="22"/>
          <w:szCs w:val="22"/>
          <w:lang w:eastAsia="en-GB"/>
        </w:rPr>
        <w:t xml:space="preserve">Newly qualified means that the nurse has graduated within the last nine months and this will be their </w:t>
      </w:r>
      <w:r>
        <w:rPr>
          <w:sz w:val="22"/>
          <w:szCs w:val="22"/>
        </w:rPr>
        <w:t xml:space="preserve">first destination </w:t>
      </w:r>
      <w:r w:rsidRPr="00E12CD9">
        <w:rPr>
          <w:sz w:val="22"/>
          <w:szCs w:val="22"/>
          <w:lang w:eastAsia="en-GB"/>
        </w:rPr>
        <w:t>post since qualifying</w:t>
      </w:r>
    </w:p>
    <w:p w:rsidR="00E12CD9" w:rsidRPr="00E12CD9" w:rsidRDefault="00E12CD9" w:rsidP="00E12CD9">
      <w:pPr>
        <w:pStyle w:val="ListParagraph"/>
        <w:numPr>
          <w:ilvl w:val="0"/>
          <w:numId w:val="44"/>
        </w:numPr>
        <w:spacing w:before="60" w:after="60" w:line="276" w:lineRule="auto"/>
        <w:ind w:left="720"/>
        <w:rPr>
          <w:sz w:val="22"/>
          <w:szCs w:val="22"/>
        </w:rPr>
      </w:pPr>
      <w:r w:rsidRPr="00E12CD9">
        <w:rPr>
          <w:sz w:val="22"/>
          <w:szCs w:val="22"/>
        </w:rPr>
        <w:t>R</w:t>
      </w:r>
      <w:r>
        <w:rPr>
          <w:sz w:val="22"/>
          <w:szCs w:val="22"/>
        </w:rPr>
        <w:t>eturn-to-</w:t>
      </w:r>
      <w:r w:rsidRPr="00E12CD9">
        <w:rPr>
          <w:sz w:val="22"/>
          <w:szCs w:val="22"/>
        </w:rPr>
        <w:t>P</w:t>
      </w:r>
      <w:r>
        <w:rPr>
          <w:sz w:val="22"/>
          <w:szCs w:val="22"/>
        </w:rPr>
        <w:t>ractice (RTP)</w:t>
      </w:r>
      <w:r w:rsidRPr="00E12CD9">
        <w:rPr>
          <w:sz w:val="22"/>
          <w:szCs w:val="22"/>
        </w:rPr>
        <w:t xml:space="preserve"> nurse means they have attended a recognised RTP course and this will be their first destination post since attending the course</w:t>
      </w:r>
    </w:p>
    <w:p w:rsidR="00DE208E" w:rsidRDefault="00DE208E" w:rsidP="00575E9B">
      <w:pPr>
        <w:spacing w:line="276" w:lineRule="auto"/>
        <w:rPr>
          <w:sz w:val="22"/>
          <w:szCs w:val="22"/>
        </w:rPr>
      </w:pPr>
    </w:p>
    <w:p w:rsidR="00DE208E" w:rsidRPr="00F1146C" w:rsidRDefault="00DE208E" w:rsidP="00F1146C">
      <w:pPr>
        <w:pStyle w:val="Heading1"/>
        <w:keepNext w:val="0"/>
        <w:keepLines w:val="0"/>
        <w:spacing w:before="0"/>
        <w:rPr>
          <w:rFonts w:ascii="Arial" w:eastAsia="Times New Roman" w:hAnsi="Arial" w:cs="Arial"/>
          <w:bCs/>
          <w:color w:val="0072C6"/>
          <w:kern w:val="32"/>
          <w:sz w:val="32"/>
          <w:szCs w:val="32"/>
        </w:rPr>
      </w:pPr>
      <w:bookmarkStart w:id="2" w:name="_Toc481760987"/>
      <w:r w:rsidRPr="00F1146C">
        <w:rPr>
          <w:rFonts w:ascii="Arial" w:eastAsia="Times New Roman" w:hAnsi="Arial" w:cs="Arial"/>
          <w:bCs/>
          <w:color w:val="0072C6"/>
          <w:kern w:val="32"/>
          <w:sz w:val="32"/>
          <w:szCs w:val="32"/>
        </w:rPr>
        <w:t>Eligibility for the scheme</w:t>
      </w:r>
      <w:bookmarkEnd w:id="2"/>
    </w:p>
    <w:p w:rsidR="00DE208E" w:rsidRDefault="00A100CF" w:rsidP="00F1146C">
      <w:pPr>
        <w:pStyle w:val="Default"/>
        <w:spacing w:before="120" w:after="120"/>
        <w:ind w:left="432"/>
        <w:rPr>
          <w:sz w:val="22"/>
          <w:szCs w:val="22"/>
        </w:rPr>
      </w:pPr>
      <w:r>
        <w:rPr>
          <w:sz w:val="22"/>
          <w:szCs w:val="22"/>
        </w:rPr>
        <w:t>An</w:t>
      </w:r>
      <w:r w:rsidR="00DE208E">
        <w:rPr>
          <w:sz w:val="22"/>
          <w:szCs w:val="22"/>
        </w:rPr>
        <w:t xml:space="preserve"> interested practice must </w:t>
      </w:r>
      <w:r>
        <w:rPr>
          <w:sz w:val="22"/>
          <w:szCs w:val="22"/>
        </w:rPr>
        <w:t xml:space="preserve">be able to </w:t>
      </w:r>
      <w:r w:rsidR="00DE208E">
        <w:rPr>
          <w:sz w:val="22"/>
          <w:szCs w:val="22"/>
        </w:rPr>
        <w:t>show evidence of;</w:t>
      </w:r>
    </w:p>
    <w:p w:rsidR="00A100CF" w:rsidRPr="00AD052A" w:rsidRDefault="00A100CF" w:rsidP="00A100CF">
      <w:pPr>
        <w:pStyle w:val="ListParagraph"/>
        <w:numPr>
          <w:ilvl w:val="0"/>
          <w:numId w:val="9"/>
        </w:numPr>
        <w:spacing w:before="120" w:after="120" w:line="276" w:lineRule="auto"/>
        <w:ind w:left="1080"/>
        <w:rPr>
          <w:i/>
          <w:sz w:val="22"/>
          <w:szCs w:val="22"/>
        </w:rPr>
      </w:pPr>
      <w:r>
        <w:rPr>
          <w:sz w:val="22"/>
          <w:szCs w:val="22"/>
        </w:rPr>
        <w:t>A defined role for the new member of staff to carry out</w:t>
      </w:r>
    </w:p>
    <w:p w:rsidR="00DE208E" w:rsidRDefault="00DE208E" w:rsidP="00A100CF">
      <w:pPr>
        <w:pStyle w:val="Default"/>
        <w:numPr>
          <w:ilvl w:val="0"/>
          <w:numId w:val="9"/>
        </w:numPr>
        <w:spacing w:before="120" w:after="120" w:line="276" w:lineRule="auto"/>
        <w:ind w:left="1080"/>
        <w:rPr>
          <w:sz w:val="22"/>
          <w:szCs w:val="22"/>
        </w:rPr>
      </w:pPr>
      <w:r>
        <w:rPr>
          <w:sz w:val="22"/>
          <w:szCs w:val="22"/>
        </w:rPr>
        <w:t>Being able to provide a goo</w:t>
      </w:r>
      <w:r w:rsidR="00A100CF">
        <w:rPr>
          <w:sz w:val="22"/>
          <w:szCs w:val="22"/>
        </w:rPr>
        <w:t xml:space="preserve">d quality learning environment </w:t>
      </w:r>
      <w:r>
        <w:rPr>
          <w:sz w:val="22"/>
          <w:szCs w:val="22"/>
        </w:rPr>
        <w:t>which involves the whole practice team providing a positive supportive culture of learning</w:t>
      </w:r>
    </w:p>
    <w:p w:rsidR="00A100CF" w:rsidRDefault="00DE208E" w:rsidP="00A100CF">
      <w:pPr>
        <w:pStyle w:val="ListParagraph"/>
        <w:numPr>
          <w:ilvl w:val="0"/>
          <w:numId w:val="9"/>
        </w:numPr>
        <w:spacing w:before="120" w:after="120" w:line="276" w:lineRule="auto"/>
        <w:ind w:left="1080"/>
        <w:rPr>
          <w:i/>
          <w:sz w:val="22"/>
          <w:szCs w:val="22"/>
        </w:rPr>
      </w:pPr>
      <w:r>
        <w:rPr>
          <w:sz w:val="22"/>
          <w:szCs w:val="22"/>
        </w:rPr>
        <w:t>The ability to allo</w:t>
      </w:r>
      <w:r w:rsidR="00A100CF">
        <w:rPr>
          <w:sz w:val="22"/>
          <w:szCs w:val="22"/>
        </w:rPr>
        <w:t xml:space="preserve">cate a named formal </w:t>
      </w:r>
      <w:r>
        <w:rPr>
          <w:sz w:val="22"/>
          <w:szCs w:val="22"/>
        </w:rPr>
        <w:t xml:space="preserve">supervisor who is a willing and experienced who has the skills to support and will be allowed the dedicated time to support a guide a new </w:t>
      </w:r>
      <w:r w:rsidR="00A100CF">
        <w:rPr>
          <w:sz w:val="22"/>
          <w:szCs w:val="22"/>
        </w:rPr>
        <w:t>member of staff</w:t>
      </w:r>
      <w:r>
        <w:rPr>
          <w:sz w:val="22"/>
          <w:szCs w:val="22"/>
        </w:rPr>
        <w:t xml:space="preserve"> </w:t>
      </w:r>
      <w:r w:rsidRPr="00AD052A">
        <w:rPr>
          <w:i/>
          <w:sz w:val="22"/>
          <w:szCs w:val="22"/>
        </w:rPr>
        <w:t>(ideally who has a mentorship qualification but this is not required)</w:t>
      </w:r>
      <w:r w:rsidR="00A100CF">
        <w:rPr>
          <w:i/>
          <w:sz w:val="22"/>
          <w:szCs w:val="22"/>
        </w:rPr>
        <w:t xml:space="preserve">.  </w:t>
      </w:r>
    </w:p>
    <w:p w:rsidR="00DE208E" w:rsidRDefault="00A100CF" w:rsidP="00A100CF">
      <w:pPr>
        <w:pStyle w:val="ListParagraph"/>
        <w:numPr>
          <w:ilvl w:val="0"/>
          <w:numId w:val="9"/>
        </w:numPr>
        <w:spacing w:before="120" w:after="120" w:line="276" w:lineRule="auto"/>
        <w:ind w:left="1080"/>
        <w:rPr>
          <w:i/>
          <w:sz w:val="22"/>
          <w:szCs w:val="22"/>
        </w:rPr>
      </w:pPr>
      <w:r>
        <w:rPr>
          <w:sz w:val="22"/>
          <w:szCs w:val="22"/>
        </w:rPr>
        <w:t xml:space="preserve">The ability to allocate </w:t>
      </w:r>
      <w:r w:rsidRPr="00A100CF">
        <w:rPr>
          <w:sz w:val="22"/>
          <w:szCs w:val="22"/>
        </w:rPr>
        <w:t>a named professional</w:t>
      </w:r>
      <w:r>
        <w:rPr>
          <w:sz w:val="22"/>
          <w:szCs w:val="22"/>
        </w:rPr>
        <w:t xml:space="preserve"> to support the new member of staff and their supervisor</w:t>
      </w:r>
    </w:p>
    <w:p w:rsidR="00DE208E" w:rsidRPr="00E95607" w:rsidRDefault="00A100CF" w:rsidP="00A100CF">
      <w:pPr>
        <w:pStyle w:val="Default"/>
        <w:numPr>
          <w:ilvl w:val="0"/>
          <w:numId w:val="9"/>
        </w:numPr>
        <w:spacing w:before="120" w:after="120" w:line="276" w:lineRule="auto"/>
        <w:ind w:left="1080"/>
        <w:rPr>
          <w:sz w:val="22"/>
          <w:szCs w:val="22"/>
        </w:rPr>
      </w:pPr>
      <w:r>
        <w:rPr>
          <w:sz w:val="22"/>
          <w:szCs w:val="22"/>
        </w:rPr>
        <w:t>T</w:t>
      </w:r>
      <w:r w:rsidR="00DE208E">
        <w:rPr>
          <w:sz w:val="22"/>
          <w:szCs w:val="22"/>
        </w:rPr>
        <w:t>he ability to provide the n</w:t>
      </w:r>
      <w:r>
        <w:rPr>
          <w:sz w:val="22"/>
          <w:szCs w:val="22"/>
        </w:rPr>
        <w:t>ew member of staff</w:t>
      </w:r>
      <w:r w:rsidR="00DE208E">
        <w:rPr>
          <w:sz w:val="22"/>
          <w:szCs w:val="22"/>
        </w:rPr>
        <w:t xml:space="preserve"> access to a range of appropriate experiences for a career in primary care</w:t>
      </w:r>
    </w:p>
    <w:p w:rsidR="00E12CD9" w:rsidRDefault="00DE208E" w:rsidP="00E12CD9">
      <w:pPr>
        <w:spacing w:line="276" w:lineRule="auto"/>
        <w:ind w:left="576"/>
        <w:rPr>
          <w:sz w:val="22"/>
          <w:szCs w:val="22"/>
        </w:rPr>
      </w:pPr>
      <w:r>
        <w:rPr>
          <w:sz w:val="22"/>
          <w:szCs w:val="22"/>
        </w:rPr>
        <w:t>These elements will be used to assess potential funding recipient practices suitability for this scheme and acceptance onto the scheme cannot be guaranteed.</w:t>
      </w:r>
    </w:p>
    <w:p w:rsidR="00DE208E" w:rsidRPr="00DE208E" w:rsidRDefault="00DE208E" w:rsidP="00DE208E">
      <w:pPr>
        <w:spacing w:line="276" w:lineRule="auto"/>
        <w:rPr>
          <w:sz w:val="22"/>
          <w:szCs w:val="22"/>
          <w:u w:val="single"/>
        </w:rPr>
      </w:pPr>
    </w:p>
    <w:p w:rsidR="009B58B6" w:rsidRDefault="009B58B6">
      <w:pPr>
        <w:spacing w:after="200" w:line="276" w:lineRule="auto"/>
        <w:rPr>
          <w:rFonts w:cs="Arial"/>
          <w:b/>
          <w:color w:val="0072C6"/>
          <w:kern w:val="32"/>
          <w:sz w:val="32"/>
          <w:szCs w:val="32"/>
        </w:rPr>
      </w:pPr>
      <w:bookmarkStart w:id="3" w:name="_Toc481760988"/>
      <w:r>
        <w:rPr>
          <w:rFonts w:cs="Arial"/>
          <w:bCs w:val="0"/>
          <w:color w:val="0072C6"/>
          <w:kern w:val="32"/>
          <w:sz w:val="32"/>
          <w:szCs w:val="32"/>
        </w:rPr>
        <w:br w:type="page"/>
      </w:r>
    </w:p>
    <w:p w:rsidR="00DE208E" w:rsidRPr="00F1146C" w:rsidRDefault="00DE208E" w:rsidP="00F1146C">
      <w:pPr>
        <w:pStyle w:val="Heading1"/>
        <w:keepNext w:val="0"/>
        <w:keepLines w:val="0"/>
        <w:spacing w:before="0"/>
        <w:rPr>
          <w:rFonts w:ascii="Arial" w:eastAsia="Times New Roman" w:hAnsi="Arial" w:cs="Arial"/>
          <w:bCs/>
          <w:color w:val="0072C6"/>
          <w:kern w:val="32"/>
          <w:sz w:val="32"/>
          <w:szCs w:val="32"/>
        </w:rPr>
      </w:pPr>
      <w:r w:rsidRPr="00F1146C">
        <w:rPr>
          <w:rFonts w:ascii="Arial" w:eastAsia="Times New Roman" w:hAnsi="Arial" w:cs="Arial"/>
          <w:bCs/>
          <w:color w:val="0072C6"/>
          <w:kern w:val="32"/>
          <w:sz w:val="32"/>
          <w:szCs w:val="32"/>
        </w:rPr>
        <w:lastRenderedPageBreak/>
        <w:t>HEE expectations of practices</w:t>
      </w:r>
      <w:bookmarkEnd w:id="3"/>
    </w:p>
    <w:p w:rsidR="00DE208E" w:rsidRDefault="00834A5A" w:rsidP="00F1146C">
      <w:pPr>
        <w:pStyle w:val="Default"/>
        <w:spacing w:before="120" w:after="120"/>
        <w:ind w:left="432"/>
        <w:rPr>
          <w:sz w:val="22"/>
          <w:szCs w:val="22"/>
        </w:rPr>
      </w:pPr>
      <w:r>
        <w:rPr>
          <w:sz w:val="22"/>
          <w:szCs w:val="22"/>
        </w:rPr>
        <w:t>Successful r</w:t>
      </w:r>
      <w:r w:rsidR="00DE208E">
        <w:rPr>
          <w:sz w:val="22"/>
          <w:szCs w:val="22"/>
        </w:rPr>
        <w:t>ecipient practices are expected to;</w:t>
      </w:r>
    </w:p>
    <w:tbl>
      <w:tblPr>
        <w:tblStyle w:val="TableGrid"/>
        <w:tblW w:w="8930" w:type="dxa"/>
        <w:tblInd w:w="534" w:type="dxa"/>
        <w:tblLook w:val="04A0" w:firstRow="1" w:lastRow="0" w:firstColumn="1" w:lastColumn="0" w:noHBand="0" w:noVBand="1"/>
      </w:tblPr>
      <w:tblGrid>
        <w:gridCol w:w="8930"/>
      </w:tblGrid>
      <w:tr w:rsidR="009E47EB" w:rsidTr="00F1146C">
        <w:tc>
          <w:tcPr>
            <w:tcW w:w="8930" w:type="dxa"/>
            <w:shd w:val="clear" w:color="auto" w:fill="FBD4B4" w:themeFill="accent6" w:themeFillTint="66"/>
            <w:vAlign w:val="center"/>
          </w:tcPr>
          <w:p w:rsidR="009E47EB" w:rsidRPr="004B6C5C" w:rsidRDefault="009E47EB" w:rsidP="004B6C5C">
            <w:pPr>
              <w:pStyle w:val="Default"/>
              <w:spacing w:before="120" w:after="120"/>
              <w:rPr>
                <w:b/>
                <w:sz w:val="22"/>
                <w:szCs w:val="22"/>
              </w:rPr>
            </w:pPr>
            <w:r w:rsidRPr="004B6C5C">
              <w:rPr>
                <w:b/>
                <w:sz w:val="22"/>
                <w:szCs w:val="22"/>
              </w:rPr>
              <w:t xml:space="preserve">Expectations of </w:t>
            </w:r>
            <w:r w:rsidR="007F2C43">
              <w:rPr>
                <w:b/>
                <w:sz w:val="22"/>
                <w:szCs w:val="22"/>
              </w:rPr>
              <w:t xml:space="preserve">successful recipient </w:t>
            </w:r>
            <w:r w:rsidRPr="004B6C5C">
              <w:rPr>
                <w:b/>
                <w:sz w:val="22"/>
                <w:szCs w:val="22"/>
              </w:rPr>
              <w:t>practices</w:t>
            </w:r>
          </w:p>
        </w:tc>
      </w:tr>
      <w:tr w:rsidR="009E47EB" w:rsidTr="00F1146C">
        <w:trPr>
          <w:trHeight w:val="1656"/>
        </w:trPr>
        <w:tc>
          <w:tcPr>
            <w:tcW w:w="8930" w:type="dxa"/>
          </w:tcPr>
          <w:p w:rsidR="009E47EB" w:rsidRPr="004B6C5C" w:rsidRDefault="009E47EB" w:rsidP="004B6C5C">
            <w:pPr>
              <w:pStyle w:val="Default"/>
              <w:spacing w:before="120" w:after="120"/>
              <w:rPr>
                <w:b/>
                <w:sz w:val="22"/>
                <w:szCs w:val="22"/>
              </w:rPr>
            </w:pPr>
            <w:r>
              <w:rPr>
                <w:b/>
                <w:sz w:val="22"/>
                <w:szCs w:val="22"/>
              </w:rPr>
              <w:t>Pre-employment:</w:t>
            </w:r>
          </w:p>
          <w:p w:rsidR="009E47EB" w:rsidRDefault="009E47EB" w:rsidP="004B6C5C">
            <w:pPr>
              <w:pStyle w:val="Default"/>
              <w:numPr>
                <w:ilvl w:val="0"/>
                <w:numId w:val="23"/>
              </w:numPr>
              <w:spacing w:before="120" w:after="120"/>
              <w:rPr>
                <w:sz w:val="22"/>
                <w:szCs w:val="22"/>
              </w:rPr>
            </w:pPr>
            <w:r w:rsidRPr="00E47278">
              <w:rPr>
                <w:sz w:val="22"/>
                <w:szCs w:val="22"/>
              </w:rPr>
              <w:t>Discussion within practice to employ newly qualified or RTP nurse</w:t>
            </w:r>
          </w:p>
          <w:p w:rsidR="009E47EB" w:rsidRDefault="009E47EB" w:rsidP="008E3B90">
            <w:pPr>
              <w:pStyle w:val="ListParagraph"/>
              <w:numPr>
                <w:ilvl w:val="0"/>
                <w:numId w:val="20"/>
              </w:numPr>
              <w:spacing w:before="60" w:after="60" w:line="276" w:lineRule="auto"/>
              <w:rPr>
                <w:sz w:val="22"/>
                <w:szCs w:val="22"/>
              </w:rPr>
            </w:pPr>
            <w:r w:rsidRPr="00E47278">
              <w:rPr>
                <w:sz w:val="22"/>
                <w:szCs w:val="22"/>
              </w:rPr>
              <w:t>Consideration of how the new nurse will be supported through their preceptorship period</w:t>
            </w:r>
            <w:r>
              <w:rPr>
                <w:sz w:val="22"/>
                <w:szCs w:val="22"/>
              </w:rPr>
              <w:t xml:space="preserve"> and what education they may need to access</w:t>
            </w:r>
          </w:p>
          <w:p w:rsidR="007F2C43" w:rsidRPr="00E47278" w:rsidRDefault="007F2C43" w:rsidP="008E3B90">
            <w:pPr>
              <w:pStyle w:val="ListParagraph"/>
              <w:numPr>
                <w:ilvl w:val="0"/>
                <w:numId w:val="20"/>
              </w:numPr>
              <w:spacing w:before="60" w:after="60" w:line="276" w:lineRule="auto"/>
              <w:rPr>
                <w:sz w:val="22"/>
                <w:szCs w:val="22"/>
              </w:rPr>
            </w:pPr>
            <w:r>
              <w:rPr>
                <w:sz w:val="22"/>
                <w:szCs w:val="22"/>
              </w:rPr>
              <w:t xml:space="preserve">Meet/discuss with </w:t>
            </w:r>
            <w:r w:rsidR="00EB66CE">
              <w:rPr>
                <w:sz w:val="22"/>
                <w:szCs w:val="22"/>
              </w:rPr>
              <w:t>PCWTH</w:t>
            </w:r>
            <w:r>
              <w:rPr>
                <w:sz w:val="22"/>
                <w:szCs w:val="22"/>
              </w:rPr>
              <w:t xml:space="preserve"> to discuss the scheme and be party to an initial suitability assessment</w:t>
            </w:r>
          </w:p>
          <w:p w:rsidR="00E12CD9" w:rsidRPr="00E12CD9" w:rsidRDefault="009E47EB" w:rsidP="00E12CD9">
            <w:pPr>
              <w:pStyle w:val="ListParagraph"/>
              <w:numPr>
                <w:ilvl w:val="0"/>
                <w:numId w:val="20"/>
              </w:numPr>
              <w:spacing w:before="60" w:after="60" w:line="276" w:lineRule="auto"/>
              <w:rPr>
                <w:sz w:val="22"/>
                <w:szCs w:val="22"/>
              </w:rPr>
            </w:pPr>
            <w:r w:rsidRPr="00E47278">
              <w:rPr>
                <w:sz w:val="22"/>
                <w:szCs w:val="22"/>
              </w:rPr>
              <w:t>Advertise for a new qualified (or RTP) NMC registrant to work at their practice</w:t>
            </w:r>
          </w:p>
        </w:tc>
      </w:tr>
      <w:tr w:rsidR="009E47EB" w:rsidTr="00F1146C">
        <w:tc>
          <w:tcPr>
            <w:tcW w:w="8930" w:type="dxa"/>
          </w:tcPr>
          <w:p w:rsidR="009E47EB" w:rsidRPr="009E47EB" w:rsidRDefault="009E47EB" w:rsidP="009E47EB">
            <w:pPr>
              <w:spacing w:before="120" w:after="120" w:line="276" w:lineRule="auto"/>
              <w:rPr>
                <w:b/>
                <w:sz w:val="22"/>
                <w:szCs w:val="22"/>
              </w:rPr>
            </w:pPr>
            <w:r>
              <w:rPr>
                <w:b/>
                <w:sz w:val="22"/>
                <w:szCs w:val="22"/>
              </w:rPr>
              <w:t>Employment commenced</w:t>
            </w:r>
            <w:r w:rsidRPr="009E47EB">
              <w:rPr>
                <w:b/>
                <w:sz w:val="22"/>
                <w:szCs w:val="22"/>
              </w:rPr>
              <w:t>:</w:t>
            </w:r>
          </w:p>
          <w:p w:rsidR="009E47EB" w:rsidRDefault="009E47EB" w:rsidP="009E47EB">
            <w:pPr>
              <w:pStyle w:val="ListParagraph"/>
              <w:numPr>
                <w:ilvl w:val="0"/>
                <w:numId w:val="20"/>
              </w:numPr>
              <w:spacing w:before="120" w:after="120" w:line="276" w:lineRule="auto"/>
              <w:rPr>
                <w:sz w:val="22"/>
                <w:szCs w:val="22"/>
              </w:rPr>
            </w:pPr>
            <w:r>
              <w:rPr>
                <w:sz w:val="22"/>
                <w:szCs w:val="22"/>
              </w:rPr>
              <w:t>Assign a preceptor for the new member of staff who will support them during their initial period within the practice (further guidance is contained within the considerations document mentions above)</w:t>
            </w:r>
          </w:p>
          <w:p w:rsidR="009E47EB" w:rsidRPr="004B6C5C" w:rsidRDefault="009E47EB" w:rsidP="009E47EB">
            <w:pPr>
              <w:pStyle w:val="ListParagraph"/>
              <w:numPr>
                <w:ilvl w:val="0"/>
                <w:numId w:val="20"/>
              </w:numPr>
              <w:spacing w:before="120" w:after="120" w:line="276" w:lineRule="auto"/>
              <w:rPr>
                <w:sz w:val="22"/>
                <w:szCs w:val="22"/>
              </w:rPr>
            </w:pPr>
            <w:r w:rsidRPr="004B6C5C">
              <w:rPr>
                <w:sz w:val="22"/>
                <w:szCs w:val="22"/>
              </w:rPr>
              <w:t xml:space="preserve">Develop a GPN educational plan which has been agreed between the new nurse employee and the supervisor at the employing practice.  </w:t>
            </w:r>
          </w:p>
          <w:p w:rsidR="009E47EB" w:rsidRPr="00834A5A" w:rsidRDefault="009E47EB" w:rsidP="009E47EB">
            <w:pPr>
              <w:pStyle w:val="ListParagraph"/>
              <w:numPr>
                <w:ilvl w:val="0"/>
                <w:numId w:val="25"/>
              </w:numPr>
              <w:spacing w:before="120" w:after="120" w:line="276" w:lineRule="auto"/>
              <w:rPr>
                <w:sz w:val="22"/>
                <w:szCs w:val="22"/>
              </w:rPr>
            </w:pPr>
            <w:r w:rsidRPr="00834A5A">
              <w:rPr>
                <w:sz w:val="22"/>
                <w:szCs w:val="22"/>
              </w:rPr>
              <w:t>The plan should also include</w:t>
            </w:r>
            <w:r w:rsidRPr="00834A5A">
              <w:rPr>
                <w:sz w:val="28"/>
                <w:szCs w:val="28"/>
              </w:rPr>
              <w:t xml:space="preserve"> </w:t>
            </w:r>
            <w:r w:rsidRPr="00834A5A">
              <w:rPr>
                <w:sz w:val="22"/>
                <w:szCs w:val="22"/>
              </w:rPr>
              <w:t xml:space="preserve">an NMC approved mentorship programme (often called Supporting Learning in Practice or </w:t>
            </w:r>
            <w:proofErr w:type="spellStart"/>
            <w:r w:rsidRPr="00834A5A">
              <w:rPr>
                <w:sz w:val="22"/>
                <w:szCs w:val="22"/>
              </w:rPr>
              <w:t>SLiP</w:t>
            </w:r>
            <w:proofErr w:type="spellEnd"/>
            <w:r w:rsidRPr="00834A5A">
              <w:rPr>
                <w:sz w:val="22"/>
                <w:szCs w:val="22"/>
              </w:rPr>
              <w:t>)</w:t>
            </w:r>
          </w:p>
          <w:p w:rsidR="009E47EB" w:rsidRDefault="009E47EB" w:rsidP="009E47EB">
            <w:pPr>
              <w:pStyle w:val="ListParagraph"/>
              <w:numPr>
                <w:ilvl w:val="0"/>
                <w:numId w:val="25"/>
              </w:numPr>
              <w:spacing w:before="120" w:after="120" w:line="276" w:lineRule="auto"/>
              <w:rPr>
                <w:sz w:val="22"/>
                <w:szCs w:val="22"/>
              </w:rPr>
            </w:pPr>
            <w:r w:rsidRPr="00834A5A">
              <w:rPr>
                <w:sz w:val="22"/>
                <w:szCs w:val="22"/>
              </w:rPr>
              <w:t xml:space="preserve">The plan should also include a statement regarding how the employing practice will support the new GPN in manners such as agreed release time for education/training *.  </w:t>
            </w:r>
          </w:p>
          <w:p w:rsidR="009E47EB" w:rsidRPr="007F2C43" w:rsidRDefault="009E47EB" w:rsidP="009E47EB">
            <w:pPr>
              <w:pStyle w:val="ListParagraph"/>
              <w:numPr>
                <w:ilvl w:val="0"/>
                <w:numId w:val="25"/>
              </w:numPr>
              <w:spacing w:before="120" w:after="120" w:line="276" w:lineRule="auto"/>
              <w:rPr>
                <w:sz w:val="22"/>
                <w:szCs w:val="22"/>
              </w:rPr>
            </w:pPr>
            <w:r w:rsidRPr="004B6C5C">
              <w:rPr>
                <w:rFonts w:eastAsia="HGSMinchoE"/>
                <w:sz w:val="22"/>
                <w:szCs w:val="22"/>
              </w:rPr>
              <w:t xml:space="preserve">Additionally this plan should be shared with the </w:t>
            </w:r>
            <w:r w:rsidR="00EB66CE">
              <w:rPr>
                <w:sz w:val="22"/>
                <w:szCs w:val="22"/>
              </w:rPr>
              <w:t>PCWTH</w:t>
            </w:r>
            <w:r w:rsidR="00DA2803">
              <w:rPr>
                <w:rFonts w:eastAsia="HGSMinchoE"/>
                <w:sz w:val="22"/>
                <w:szCs w:val="22"/>
              </w:rPr>
              <w:t>.</w:t>
            </w:r>
          </w:p>
          <w:p w:rsidR="007F2C43" w:rsidRPr="004B6C5C" w:rsidRDefault="007F2C43" w:rsidP="007F2C43">
            <w:pPr>
              <w:pStyle w:val="ListParagraph"/>
              <w:numPr>
                <w:ilvl w:val="0"/>
                <w:numId w:val="20"/>
              </w:numPr>
              <w:spacing w:before="120" w:after="120" w:line="276" w:lineRule="auto"/>
              <w:rPr>
                <w:sz w:val="22"/>
                <w:szCs w:val="22"/>
              </w:rPr>
            </w:pPr>
            <w:r w:rsidRPr="007F2C43">
              <w:rPr>
                <w:sz w:val="22"/>
                <w:szCs w:val="22"/>
              </w:rPr>
              <w:t>Review the GPN educational plan between nine and 12 months into employm</w:t>
            </w:r>
            <w:r>
              <w:rPr>
                <w:sz w:val="22"/>
                <w:szCs w:val="22"/>
              </w:rPr>
              <w:t>ent to refresh for the second year of employment (when mentorship will be undertaken)</w:t>
            </w:r>
          </w:p>
        </w:tc>
      </w:tr>
      <w:tr w:rsidR="009E47EB" w:rsidTr="00F1146C">
        <w:tc>
          <w:tcPr>
            <w:tcW w:w="8930" w:type="dxa"/>
          </w:tcPr>
          <w:p w:rsidR="009E47EB" w:rsidRPr="009E47EB" w:rsidRDefault="007F2C43" w:rsidP="009E47EB">
            <w:pPr>
              <w:pStyle w:val="Default"/>
              <w:spacing w:before="120" w:after="120"/>
              <w:rPr>
                <w:b/>
                <w:sz w:val="22"/>
                <w:szCs w:val="22"/>
              </w:rPr>
            </w:pPr>
            <w:r>
              <w:rPr>
                <w:b/>
                <w:sz w:val="22"/>
                <w:szCs w:val="22"/>
              </w:rPr>
              <w:t>Overall r</w:t>
            </w:r>
            <w:r w:rsidR="009E47EB" w:rsidRPr="009E47EB">
              <w:rPr>
                <w:b/>
                <w:sz w:val="22"/>
                <w:szCs w:val="22"/>
              </w:rPr>
              <w:t>esponsibility:</w:t>
            </w:r>
          </w:p>
          <w:p w:rsidR="007F2C43" w:rsidRDefault="007F2C43" w:rsidP="007F2C43">
            <w:pPr>
              <w:pStyle w:val="ListParagraph"/>
              <w:numPr>
                <w:ilvl w:val="0"/>
                <w:numId w:val="20"/>
              </w:numPr>
              <w:spacing w:before="120" w:after="120" w:line="276" w:lineRule="auto"/>
              <w:rPr>
                <w:sz w:val="22"/>
                <w:szCs w:val="22"/>
              </w:rPr>
            </w:pPr>
            <w:r w:rsidRPr="007F2C43">
              <w:rPr>
                <w:sz w:val="22"/>
                <w:szCs w:val="22"/>
              </w:rPr>
              <w:t xml:space="preserve">Keep accurate financial records relating to claims relating to the GPN Ready scheme </w:t>
            </w:r>
          </w:p>
          <w:p w:rsidR="009E47EB" w:rsidRPr="007F2C43" w:rsidRDefault="009E47EB" w:rsidP="007F2C43">
            <w:pPr>
              <w:pStyle w:val="ListParagraph"/>
              <w:numPr>
                <w:ilvl w:val="0"/>
                <w:numId w:val="20"/>
              </w:numPr>
              <w:spacing w:before="120" w:after="120" w:line="276" w:lineRule="auto"/>
              <w:rPr>
                <w:sz w:val="22"/>
                <w:szCs w:val="22"/>
              </w:rPr>
            </w:pPr>
            <w:r w:rsidRPr="007F2C43">
              <w:rPr>
                <w:sz w:val="22"/>
                <w:szCs w:val="22"/>
              </w:rPr>
              <w:t xml:space="preserve">Allow </w:t>
            </w:r>
            <w:r w:rsidR="00EB66CE">
              <w:rPr>
                <w:sz w:val="22"/>
                <w:szCs w:val="22"/>
              </w:rPr>
              <w:t>PCWTH</w:t>
            </w:r>
            <w:r w:rsidR="007F2C43">
              <w:rPr>
                <w:sz w:val="22"/>
                <w:szCs w:val="22"/>
              </w:rPr>
              <w:t>/HEE</w:t>
            </w:r>
            <w:r w:rsidRPr="007F2C43">
              <w:rPr>
                <w:sz w:val="22"/>
                <w:szCs w:val="22"/>
              </w:rPr>
              <w:t xml:space="preserve"> access to all information and requirements related to the scheme including;</w:t>
            </w:r>
          </w:p>
          <w:p w:rsidR="00CE6CD5" w:rsidRDefault="00CE6CD5" w:rsidP="007F2C43">
            <w:pPr>
              <w:pStyle w:val="ListParagraph"/>
              <w:numPr>
                <w:ilvl w:val="1"/>
                <w:numId w:val="20"/>
              </w:numPr>
              <w:spacing w:before="120" w:after="120" w:line="276" w:lineRule="auto"/>
              <w:rPr>
                <w:sz w:val="22"/>
                <w:szCs w:val="22"/>
              </w:rPr>
            </w:pPr>
            <w:r>
              <w:rPr>
                <w:sz w:val="22"/>
                <w:szCs w:val="22"/>
              </w:rPr>
              <w:t>Answering questions relating to the scheme’s suitability assessment</w:t>
            </w:r>
          </w:p>
          <w:p w:rsidR="009E47EB" w:rsidRPr="005C29D2" w:rsidRDefault="009E47EB" w:rsidP="007F2C43">
            <w:pPr>
              <w:pStyle w:val="ListParagraph"/>
              <w:numPr>
                <w:ilvl w:val="1"/>
                <w:numId w:val="20"/>
              </w:numPr>
              <w:spacing w:before="120" w:after="120" w:line="276" w:lineRule="auto"/>
              <w:rPr>
                <w:sz w:val="22"/>
                <w:szCs w:val="22"/>
              </w:rPr>
            </w:pPr>
            <w:r>
              <w:rPr>
                <w:sz w:val="22"/>
                <w:szCs w:val="22"/>
              </w:rPr>
              <w:t>P</w:t>
            </w:r>
            <w:r w:rsidR="00CE6CD5">
              <w:rPr>
                <w:sz w:val="22"/>
                <w:szCs w:val="22"/>
              </w:rPr>
              <w:t>roviding P</w:t>
            </w:r>
            <w:r>
              <w:rPr>
                <w:sz w:val="22"/>
                <w:szCs w:val="22"/>
              </w:rPr>
              <w:t>IN numbers of staff appointed in relation to the scheme</w:t>
            </w:r>
            <w:r w:rsidR="00E12CD9">
              <w:rPr>
                <w:sz w:val="22"/>
                <w:szCs w:val="22"/>
              </w:rPr>
              <w:t xml:space="preserve"> </w:t>
            </w:r>
          </w:p>
          <w:p w:rsidR="009E47EB" w:rsidRDefault="00CE6CD5" w:rsidP="007F2C43">
            <w:pPr>
              <w:pStyle w:val="ListParagraph"/>
              <w:numPr>
                <w:ilvl w:val="1"/>
                <w:numId w:val="20"/>
              </w:numPr>
              <w:spacing w:before="120" w:after="120" w:line="276" w:lineRule="auto"/>
              <w:rPr>
                <w:sz w:val="22"/>
                <w:szCs w:val="22"/>
              </w:rPr>
            </w:pPr>
            <w:r>
              <w:rPr>
                <w:sz w:val="22"/>
                <w:szCs w:val="22"/>
              </w:rPr>
              <w:t>Supplying the n</w:t>
            </w:r>
            <w:r w:rsidR="009E47EB">
              <w:rPr>
                <w:sz w:val="22"/>
                <w:szCs w:val="22"/>
              </w:rPr>
              <w:t xml:space="preserve">ame of </w:t>
            </w:r>
            <w:r>
              <w:rPr>
                <w:sz w:val="22"/>
                <w:szCs w:val="22"/>
              </w:rPr>
              <w:t xml:space="preserve">an </w:t>
            </w:r>
            <w:r w:rsidR="009E47EB">
              <w:rPr>
                <w:sz w:val="22"/>
                <w:szCs w:val="22"/>
              </w:rPr>
              <w:t>assigned preceptor</w:t>
            </w:r>
          </w:p>
          <w:p w:rsidR="007F2C43" w:rsidRPr="007F2C43" w:rsidRDefault="00CE6CD5" w:rsidP="007F2C43">
            <w:pPr>
              <w:pStyle w:val="ListParagraph"/>
              <w:numPr>
                <w:ilvl w:val="1"/>
                <w:numId w:val="20"/>
              </w:numPr>
              <w:spacing w:before="120" w:after="120" w:line="276" w:lineRule="auto"/>
              <w:rPr>
                <w:sz w:val="22"/>
                <w:szCs w:val="22"/>
              </w:rPr>
            </w:pPr>
            <w:r>
              <w:rPr>
                <w:sz w:val="22"/>
                <w:szCs w:val="22"/>
              </w:rPr>
              <w:t>Providing c</w:t>
            </w:r>
            <w:r w:rsidR="009E47EB">
              <w:rPr>
                <w:sz w:val="22"/>
                <w:szCs w:val="22"/>
              </w:rPr>
              <w:t>opies of</w:t>
            </w:r>
            <w:r w:rsidR="007F2C43">
              <w:rPr>
                <w:sz w:val="22"/>
                <w:szCs w:val="22"/>
              </w:rPr>
              <w:t xml:space="preserve"> GPN</w:t>
            </w:r>
            <w:r w:rsidR="009E47EB">
              <w:rPr>
                <w:sz w:val="22"/>
                <w:szCs w:val="22"/>
              </w:rPr>
              <w:t xml:space="preserve"> agreed educational plans</w:t>
            </w:r>
            <w:r>
              <w:rPr>
                <w:sz w:val="22"/>
                <w:szCs w:val="22"/>
              </w:rPr>
              <w:t xml:space="preserve"> in the timescales required</w:t>
            </w:r>
          </w:p>
          <w:p w:rsidR="009E47EB" w:rsidRDefault="007F2C43" w:rsidP="007F2C43">
            <w:pPr>
              <w:pStyle w:val="ListParagraph"/>
              <w:numPr>
                <w:ilvl w:val="0"/>
                <w:numId w:val="20"/>
              </w:numPr>
              <w:spacing w:before="120" w:after="120" w:line="276" w:lineRule="auto"/>
              <w:rPr>
                <w:sz w:val="22"/>
                <w:szCs w:val="22"/>
              </w:rPr>
            </w:pPr>
            <w:r>
              <w:rPr>
                <w:sz w:val="22"/>
                <w:szCs w:val="22"/>
              </w:rPr>
              <w:t>Actively participate in a</w:t>
            </w:r>
            <w:r w:rsidR="009E47EB">
              <w:rPr>
                <w:sz w:val="22"/>
                <w:szCs w:val="22"/>
              </w:rPr>
              <w:t xml:space="preserve">udits </w:t>
            </w:r>
            <w:r>
              <w:rPr>
                <w:sz w:val="22"/>
                <w:szCs w:val="22"/>
              </w:rPr>
              <w:t xml:space="preserve">and evaluation of the scheme </w:t>
            </w:r>
            <w:r w:rsidR="009E47EB">
              <w:rPr>
                <w:sz w:val="22"/>
                <w:szCs w:val="22"/>
              </w:rPr>
              <w:t>as and when required</w:t>
            </w:r>
          </w:p>
          <w:p w:rsidR="007F2C43" w:rsidRDefault="007F2C43" w:rsidP="007F2C43">
            <w:pPr>
              <w:pStyle w:val="ListParagraph"/>
              <w:numPr>
                <w:ilvl w:val="0"/>
                <w:numId w:val="20"/>
              </w:numPr>
              <w:spacing w:before="120" w:after="120" w:line="276" w:lineRule="auto"/>
              <w:rPr>
                <w:sz w:val="22"/>
                <w:szCs w:val="22"/>
              </w:rPr>
            </w:pPr>
            <w:r>
              <w:rPr>
                <w:sz w:val="22"/>
                <w:szCs w:val="22"/>
              </w:rPr>
              <w:t xml:space="preserve">Attend any </w:t>
            </w:r>
            <w:r w:rsidR="00EB66CE">
              <w:rPr>
                <w:sz w:val="22"/>
                <w:szCs w:val="22"/>
              </w:rPr>
              <w:t>PCWTH</w:t>
            </w:r>
            <w:r>
              <w:rPr>
                <w:sz w:val="22"/>
                <w:szCs w:val="22"/>
              </w:rPr>
              <w:t xml:space="preserve"> led activities related to GPN staff such as networking, education or information sharing events</w:t>
            </w:r>
          </w:p>
          <w:p w:rsidR="009E47EB" w:rsidRPr="007F2C43" w:rsidRDefault="007F2C43" w:rsidP="007F2C43">
            <w:pPr>
              <w:pStyle w:val="ListParagraph"/>
              <w:numPr>
                <w:ilvl w:val="0"/>
                <w:numId w:val="20"/>
              </w:numPr>
              <w:spacing w:before="120" w:after="120" w:line="276" w:lineRule="auto"/>
              <w:rPr>
                <w:sz w:val="22"/>
                <w:szCs w:val="22"/>
              </w:rPr>
            </w:pPr>
            <w:r>
              <w:rPr>
                <w:sz w:val="22"/>
                <w:szCs w:val="22"/>
              </w:rPr>
              <w:t>Actively contribute (as required) to any work which is being undertaken across Yorkshire and the Humber regarding the development of a ‘standardised’ offer of GPN educational journey for the GPN workforce</w:t>
            </w:r>
          </w:p>
        </w:tc>
      </w:tr>
    </w:tbl>
    <w:p w:rsidR="004B6C5C" w:rsidRDefault="004B6C5C" w:rsidP="00DE208E">
      <w:pPr>
        <w:pStyle w:val="Default"/>
        <w:spacing w:before="120" w:after="120"/>
        <w:rPr>
          <w:sz w:val="22"/>
          <w:szCs w:val="22"/>
        </w:rPr>
      </w:pPr>
    </w:p>
    <w:p w:rsidR="009B58B6" w:rsidRDefault="009B58B6" w:rsidP="00DE208E">
      <w:pPr>
        <w:pStyle w:val="Default"/>
        <w:spacing w:before="120" w:after="120"/>
        <w:rPr>
          <w:sz w:val="22"/>
          <w:szCs w:val="22"/>
        </w:rPr>
      </w:pPr>
    </w:p>
    <w:p w:rsidR="009B58B6" w:rsidRDefault="009B58B6" w:rsidP="00DE208E">
      <w:pPr>
        <w:pStyle w:val="Default"/>
        <w:spacing w:before="120" w:after="120"/>
        <w:rPr>
          <w:sz w:val="22"/>
          <w:szCs w:val="22"/>
        </w:rPr>
      </w:pPr>
    </w:p>
    <w:p w:rsidR="004B6C5C" w:rsidRPr="00F1146C" w:rsidRDefault="004A4B75" w:rsidP="00F1146C">
      <w:pPr>
        <w:pStyle w:val="Heading1"/>
        <w:keepNext w:val="0"/>
        <w:keepLines w:val="0"/>
        <w:spacing w:before="0"/>
        <w:rPr>
          <w:rFonts w:ascii="Arial" w:eastAsia="Times New Roman" w:hAnsi="Arial" w:cs="Arial"/>
          <w:bCs/>
          <w:color w:val="0072C6"/>
          <w:kern w:val="32"/>
          <w:sz w:val="32"/>
          <w:szCs w:val="32"/>
        </w:rPr>
      </w:pPr>
      <w:bookmarkStart w:id="4" w:name="_Toc481760989"/>
      <w:r>
        <w:rPr>
          <w:rFonts w:ascii="Arial" w:eastAsia="Times New Roman" w:hAnsi="Arial" w:cs="Arial"/>
          <w:bCs/>
          <w:color w:val="0072C6"/>
          <w:kern w:val="32"/>
          <w:sz w:val="32"/>
          <w:szCs w:val="32"/>
        </w:rPr>
        <w:lastRenderedPageBreak/>
        <w:t>Practice s</w:t>
      </w:r>
      <w:r w:rsidR="009E47EB" w:rsidRPr="00F1146C">
        <w:rPr>
          <w:rFonts w:ascii="Arial" w:eastAsia="Times New Roman" w:hAnsi="Arial" w:cs="Arial"/>
          <w:bCs/>
          <w:color w:val="0072C6"/>
          <w:kern w:val="32"/>
          <w:sz w:val="32"/>
          <w:szCs w:val="32"/>
        </w:rPr>
        <w:t>upport for GPN Ready Scheme</w:t>
      </w:r>
      <w:bookmarkEnd w:id="4"/>
    </w:p>
    <w:p w:rsidR="004B6C5C" w:rsidRDefault="004B6C5C" w:rsidP="004B6C5C">
      <w:pPr>
        <w:pStyle w:val="Default"/>
        <w:numPr>
          <w:ilvl w:val="0"/>
          <w:numId w:val="24"/>
        </w:numPr>
        <w:spacing w:before="120" w:after="120"/>
        <w:rPr>
          <w:sz w:val="22"/>
          <w:szCs w:val="22"/>
        </w:rPr>
      </w:pPr>
      <w:r>
        <w:rPr>
          <w:sz w:val="22"/>
          <w:szCs w:val="22"/>
          <w:lang w:eastAsia="en-GB"/>
        </w:rPr>
        <w:t>HEE has created a document entitled ‘</w:t>
      </w:r>
      <w:r w:rsidRPr="004B6C5C">
        <w:rPr>
          <w:sz w:val="22"/>
          <w:szCs w:val="22"/>
          <w:lang w:eastAsia="en-GB"/>
        </w:rPr>
        <w:t>Considerations of employing a newly qualified nurse</w:t>
      </w:r>
      <w:r>
        <w:rPr>
          <w:sz w:val="22"/>
          <w:szCs w:val="22"/>
          <w:lang w:eastAsia="en-GB"/>
        </w:rPr>
        <w:t>’</w:t>
      </w:r>
      <w:r w:rsidRPr="004B6C5C">
        <w:rPr>
          <w:sz w:val="22"/>
          <w:szCs w:val="22"/>
          <w:lang w:eastAsia="en-GB"/>
        </w:rPr>
        <w:t xml:space="preserve"> </w:t>
      </w:r>
      <w:r>
        <w:rPr>
          <w:sz w:val="22"/>
          <w:szCs w:val="22"/>
          <w:lang w:eastAsia="en-GB"/>
        </w:rPr>
        <w:t>which assist a practices in planning the arrival of a new nurse to their practice</w:t>
      </w:r>
    </w:p>
    <w:p w:rsidR="004B6C5C" w:rsidRDefault="004B6C5C" w:rsidP="004B6C5C">
      <w:pPr>
        <w:pStyle w:val="Default"/>
        <w:numPr>
          <w:ilvl w:val="0"/>
          <w:numId w:val="24"/>
        </w:numPr>
        <w:spacing w:before="120" w:after="120"/>
        <w:rPr>
          <w:sz w:val="22"/>
          <w:szCs w:val="22"/>
        </w:rPr>
      </w:pPr>
      <w:r w:rsidRPr="00E47278">
        <w:rPr>
          <w:sz w:val="22"/>
          <w:szCs w:val="22"/>
          <w:lang w:eastAsia="en-GB"/>
        </w:rPr>
        <w:t>Sample job description and person specifications are available which can be adapted for practice use</w:t>
      </w:r>
    </w:p>
    <w:p w:rsidR="009E47EB" w:rsidRDefault="004B6C5C" w:rsidP="004B6C5C">
      <w:pPr>
        <w:pStyle w:val="Default"/>
        <w:numPr>
          <w:ilvl w:val="0"/>
          <w:numId w:val="24"/>
        </w:numPr>
        <w:spacing w:before="120" w:after="120"/>
        <w:rPr>
          <w:sz w:val="22"/>
          <w:szCs w:val="22"/>
        </w:rPr>
      </w:pPr>
      <w:r>
        <w:rPr>
          <w:sz w:val="22"/>
          <w:szCs w:val="22"/>
          <w:lang w:eastAsia="en-GB"/>
        </w:rPr>
        <w:t xml:space="preserve">The </w:t>
      </w:r>
      <w:r w:rsidR="00EB66CE">
        <w:rPr>
          <w:sz w:val="22"/>
          <w:szCs w:val="22"/>
        </w:rPr>
        <w:t>PCWTH</w:t>
      </w:r>
      <w:r w:rsidR="0023126F">
        <w:rPr>
          <w:sz w:val="22"/>
          <w:szCs w:val="22"/>
          <w:lang w:eastAsia="en-GB"/>
        </w:rPr>
        <w:t xml:space="preserve"> </w:t>
      </w:r>
      <w:r>
        <w:rPr>
          <w:sz w:val="22"/>
          <w:szCs w:val="22"/>
          <w:lang w:eastAsia="en-GB"/>
        </w:rPr>
        <w:t xml:space="preserve">will be able to </w:t>
      </w:r>
      <w:proofErr w:type="gramStart"/>
      <w:r>
        <w:rPr>
          <w:sz w:val="22"/>
          <w:szCs w:val="22"/>
          <w:lang w:eastAsia="en-GB"/>
        </w:rPr>
        <w:t>advi</w:t>
      </w:r>
      <w:r w:rsidR="0023126F">
        <w:rPr>
          <w:sz w:val="22"/>
          <w:szCs w:val="22"/>
          <w:lang w:eastAsia="en-GB"/>
        </w:rPr>
        <w:t>s</w:t>
      </w:r>
      <w:r>
        <w:rPr>
          <w:sz w:val="22"/>
          <w:szCs w:val="22"/>
          <w:lang w:eastAsia="en-GB"/>
        </w:rPr>
        <w:t>e</w:t>
      </w:r>
      <w:proofErr w:type="gramEnd"/>
      <w:r>
        <w:rPr>
          <w:sz w:val="22"/>
          <w:szCs w:val="22"/>
          <w:lang w:eastAsia="en-GB"/>
        </w:rPr>
        <w:t xml:space="preserve"> of the likely support a new nurse will require as part of their preceptorship period.  </w:t>
      </w:r>
    </w:p>
    <w:p w:rsidR="00B6154B" w:rsidRPr="00EF5F53" w:rsidRDefault="00EB66CE" w:rsidP="00F1146C">
      <w:pPr>
        <w:pStyle w:val="Default"/>
        <w:numPr>
          <w:ilvl w:val="0"/>
          <w:numId w:val="24"/>
        </w:numPr>
        <w:spacing w:before="120" w:after="120"/>
        <w:rPr>
          <w:sz w:val="22"/>
          <w:szCs w:val="22"/>
        </w:rPr>
      </w:pPr>
      <w:r>
        <w:rPr>
          <w:sz w:val="22"/>
          <w:szCs w:val="22"/>
        </w:rPr>
        <w:t>PCWTH</w:t>
      </w:r>
      <w:r w:rsidR="0023126F">
        <w:rPr>
          <w:sz w:val="22"/>
          <w:szCs w:val="22"/>
          <w:lang w:eastAsia="en-GB"/>
        </w:rPr>
        <w:t xml:space="preserve"> </w:t>
      </w:r>
      <w:r w:rsidR="004B6C5C">
        <w:rPr>
          <w:sz w:val="22"/>
          <w:szCs w:val="22"/>
          <w:lang w:eastAsia="en-GB"/>
        </w:rPr>
        <w:t>will also be able to</w:t>
      </w:r>
      <w:r w:rsidR="009E47EB">
        <w:rPr>
          <w:sz w:val="22"/>
          <w:szCs w:val="22"/>
          <w:lang w:eastAsia="en-GB"/>
        </w:rPr>
        <w:t xml:space="preserve"> offer</w:t>
      </w:r>
      <w:r w:rsidR="004B6C5C">
        <w:rPr>
          <w:sz w:val="22"/>
          <w:szCs w:val="22"/>
          <w:lang w:eastAsia="en-GB"/>
        </w:rPr>
        <w:t xml:space="preserve"> </w:t>
      </w:r>
      <w:r w:rsidR="009E47EB">
        <w:rPr>
          <w:sz w:val="22"/>
          <w:szCs w:val="22"/>
          <w:lang w:eastAsia="en-GB"/>
        </w:rPr>
        <w:t>suggestions</w:t>
      </w:r>
      <w:r w:rsidR="004B6C5C">
        <w:rPr>
          <w:sz w:val="22"/>
          <w:szCs w:val="22"/>
          <w:lang w:eastAsia="en-GB"/>
        </w:rPr>
        <w:t xml:space="preserve"> as to potential education you may wish to consider for your new GPN.</w:t>
      </w:r>
      <w:r w:rsidR="009E47EB">
        <w:rPr>
          <w:sz w:val="22"/>
          <w:szCs w:val="22"/>
          <w:lang w:eastAsia="en-GB"/>
        </w:rPr>
        <w:t xml:space="preserve">  This will include</w:t>
      </w:r>
      <w:r w:rsidR="009E47EB">
        <w:rPr>
          <w:sz w:val="22"/>
          <w:szCs w:val="22"/>
        </w:rPr>
        <w:t xml:space="preserve"> </w:t>
      </w:r>
      <w:r w:rsidR="009E47EB" w:rsidRPr="009E47EB">
        <w:rPr>
          <w:color w:val="auto"/>
          <w:sz w:val="22"/>
          <w:szCs w:val="22"/>
        </w:rPr>
        <w:t>advis</w:t>
      </w:r>
      <w:r w:rsidR="009E47EB">
        <w:rPr>
          <w:color w:val="auto"/>
          <w:sz w:val="22"/>
          <w:szCs w:val="22"/>
        </w:rPr>
        <w:t>ing</w:t>
      </w:r>
      <w:r w:rsidR="009E47EB" w:rsidRPr="009E47EB">
        <w:rPr>
          <w:color w:val="auto"/>
          <w:sz w:val="22"/>
          <w:szCs w:val="22"/>
        </w:rPr>
        <w:t xml:space="preserve"> you as what courses are available and what previously employed GPN Ready scheme nurses have sort education in.  Further</w:t>
      </w:r>
      <w:r w:rsidR="00CB10AF">
        <w:rPr>
          <w:color w:val="auto"/>
          <w:sz w:val="22"/>
          <w:szCs w:val="22"/>
        </w:rPr>
        <w:t xml:space="preserve"> wo</w:t>
      </w:r>
      <w:r w:rsidR="00BB51B6">
        <w:rPr>
          <w:color w:val="auto"/>
          <w:sz w:val="22"/>
          <w:szCs w:val="22"/>
        </w:rPr>
        <w:t>rk will be undertaken in 2019/20</w:t>
      </w:r>
      <w:r w:rsidR="009E47EB" w:rsidRPr="009E47EB">
        <w:rPr>
          <w:color w:val="auto"/>
          <w:sz w:val="22"/>
          <w:szCs w:val="22"/>
        </w:rPr>
        <w:t xml:space="preserve"> by the </w:t>
      </w:r>
      <w:r>
        <w:rPr>
          <w:sz w:val="22"/>
          <w:szCs w:val="22"/>
        </w:rPr>
        <w:t>PCWTH</w:t>
      </w:r>
      <w:r w:rsidR="009E47EB" w:rsidRPr="009E47EB">
        <w:rPr>
          <w:color w:val="auto"/>
          <w:sz w:val="22"/>
          <w:szCs w:val="22"/>
        </w:rPr>
        <w:t xml:space="preserve"> with regard to the ‘suggested’ education required for a nurse new to general practice</w:t>
      </w:r>
      <w:r w:rsidR="009E47EB">
        <w:rPr>
          <w:color w:val="auto"/>
          <w:sz w:val="22"/>
          <w:szCs w:val="22"/>
        </w:rPr>
        <w:t>.</w:t>
      </w:r>
    </w:p>
    <w:p w:rsidR="00EF5F53" w:rsidRPr="00F1146C" w:rsidRDefault="00EF5F53" w:rsidP="00EF5F53">
      <w:pPr>
        <w:pStyle w:val="Default"/>
        <w:spacing w:before="120" w:after="120"/>
        <w:ind w:left="792"/>
        <w:rPr>
          <w:sz w:val="22"/>
          <w:szCs w:val="22"/>
        </w:rPr>
      </w:pPr>
    </w:p>
    <w:p w:rsidR="00DE208E" w:rsidRPr="00F1146C" w:rsidRDefault="00DE208E" w:rsidP="00F1146C">
      <w:pPr>
        <w:pStyle w:val="Heading1"/>
        <w:keepNext w:val="0"/>
        <w:keepLines w:val="0"/>
        <w:spacing w:before="0"/>
        <w:rPr>
          <w:rFonts w:ascii="Arial" w:eastAsia="Times New Roman" w:hAnsi="Arial" w:cs="Arial"/>
          <w:bCs/>
          <w:color w:val="0072C6"/>
          <w:kern w:val="32"/>
          <w:sz w:val="32"/>
          <w:szCs w:val="32"/>
        </w:rPr>
      </w:pPr>
      <w:bookmarkStart w:id="5" w:name="_Toc481760990"/>
      <w:r w:rsidRPr="00F1146C">
        <w:rPr>
          <w:rFonts w:ascii="Arial" w:eastAsia="Times New Roman" w:hAnsi="Arial" w:cs="Arial"/>
          <w:bCs/>
          <w:color w:val="0072C6"/>
          <w:kern w:val="32"/>
          <w:sz w:val="32"/>
          <w:szCs w:val="32"/>
        </w:rPr>
        <w:t>Financi</w:t>
      </w:r>
      <w:r w:rsidR="00CB10AF">
        <w:rPr>
          <w:rFonts w:ascii="Arial" w:eastAsia="Times New Roman" w:hAnsi="Arial" w:cs="Arial"/>
          <w:bCs/>
          <w:color w:val="0072C6"/>
          <w:kern w:val="32"/>
          <w:sz w:val="32"/>
          <w:szCs w:val="32"/>
        </w:rPr>
        <w:t>al support available during 201</w:t>
      </w:r>
      <w:bookmarkEnd w:id="5"/>
      <w:r w:rsidR="00BB51B6">
        <w:rPr>
          <w:rFonts w:ascii="Arial" w:eastAsia="Times New Roman" w:hAnsi="Arial" w:cs="Arial"/>
          <w:bCs/>
          <w:color w:val="0072C6"/>
          <w:kern w:val="32"/>
          <w:sz w:val="32"/>
          <w:szCs w:val="32"/>
        </w:rPr>
        <w:t>9/20</w:t>
      </w:r>
      <w:r w:rsidRPr="00F1146C">
        <w:rPr>
          <w:rFonts w:ascii="Arial" w:eastAsia="Times New Roman" w:hAnsi="Arial" w:cs="Arial"/>
          <w:bCs/>
          <w:color w:val="0072C6"/>
          <w:kern w:val="32"/>
          <w:sz w:val="32"/>
          <w:szCs w:val="32"/>
        </w:rPr>
        <w:t xml:space="preserve"> </w:t>
      </w:r>
    </w:p>
    <w:p w:rsidR="00F1146C" w:rsidRDefault="00F1146C" w:rsidP="005F6082">
      <w:pPr>
        <w:spacing w:line="276" w:lineRule="auto"/>
        <w:rPr>
          <w:sz w:val="22"/>
          <w:szCs w:val="22"/>
        </w:rPr>
      </w:pPr>
    </w:p>
    <w:p w:rsidR="00CE6CD5" w:rsidRDefault="00CE6CD5" w:rsidP="00F1146C">
      <w:pPr>
        <w:spacing w:line="276" w:lineRule="auto"/>
        <w:ind w:left="432"/>
        <w:rPr>
          <w:sz w:val="22"/>
          <w:szCs w:val="22"/>
        </w:rPr>
      </w:pPr>
      <w:r w:rsidRPr="00CE6CD5">
        <w:rPr>
          <w:sz w:val="22"/>
          <w:szCs w:val="22"/>
        </w:rPr>
        <w:t xml:space="preserve">GPN Ready scheme bursaries </w:t>
      </w:r>
      <w:r w:rsidR="00C968E8">
        <w:rPr>
          <w:sz w:val="22"/>
          <w:szCs w:val="22"/>
        </w:rPr>
        <w:t xml:space="preserve">are </w:t>
      </w:r>
      <w:r w:rsidR="00BB51B6">
        <w:rPr>
          <w:sz w:val="22"/>
          <w:szCs w:val="22"/>
        </w:rPr>
        <w:t>available for 2019/20</w:t>
      </w:r>
      <w:r w:rsidRPr="00CE6CD5">
        <w:rPr>
          <w:sz w:val="22"/>
          <w:szCs w:val="22"/>
        </w:rPr>
        <w:t xml:space="preserve"> for </w:t>
      </w:r>
      <w:r w:rsidRPr="00CE6CD5">
        <w:rPr>
          <w:b/>
          <w:sz w:val="22"/>
          <w:szCs w:val="22"/>
        </w:rPr>
        <w:t>up to £8k</w:t>
      </w:r>
      <w:r w:rsidR="00C968E8">
        <w:rPr>
          <w:b/>
          <w:sz w:val="22"/>
          <w:szCs w:val="22"/>
        </w:rPr>
        <w:t xml:space="preserve"> </w:t>
      </w:r>
      <w:r w:rsidR="00C968E8">
        <w:rPr>
          <w:sz w:val="22"/>
          <w:szCs w:val="22"/>
        </w:rPr>
        <w:t>over a two year period</w:t>
      </w:r>
      <w:r w:rsidR="00C968E8">
        <w:rPr>
          <w:b/>
          <w:sz w:val="22"/>
          <w:szCs w:val="22"/>
        </w:rPr>
        <w:t xml:space="preserve">. </w:t>
      </w:r>
      <w:r w:rsidR="00C968E8">
        <w:rPr>
          <w:sz w:val="22"/>
          <w:szCs w:val="22"/>
        </w:rPr>
        <w:t xml:space="preserve"> This </w:t>
      </w:r>
      <w:r w:rsidR="005F6082">
        <w:rPr>
          <w:sz w:val="22"/>
          <w:szCs w:val="22"/>
        </w:rPr>
        <w:t xml:space="preserve">amount </w:t>
      </w:r>
      <w:r w:rsidR="00C968E8">
        <w:rPr>
          <w:sz w:val="22"/>
          <w:szCs w:val="22"/>
        </w:rPr>
        <w:t>has been apportioned as below.</w:t>
      </w:r>
    </w:p>
    <w:p w:rsidR="00C968E8" w:rsidRDefault="00C968E8" w:rsidP="00CE6CD5">
      <w:pPr>
        <w:spacing w:line="360" w:lineRule="auto"/>
        <w:rPr>
          <w:sz w:val="22"/>
          <w:szCs w:val="22"/>
        </w:rPr>
      </w:pPr>
    </w:p>
    <w:tbl>
      <w:tblPr>
        <w:tblStyle w:val="TableGrid"/>
        <w:tblW w:w="0" w:type="auto"/>
        <w:tblInd w:w="534" w:type="dxa"/>
        <w:tblLook w:val="04A0" w:firstRow="1" w:lastRow="0" w:firstColumn="1" w:lastColumn="0" w:noHBand="0" w:noVBand="1"/>
      </w:tblPr>
      <w:tblGrid>
        <w:gridCol w:w="1417"/>
        <w:gridCol w:w="1559"/>
        <w:gridCol w:w="5732"/>
      </w:tblGrid>
      <w:tr w:rsidR="00C968E8" w:rsidTr="00E12CD9">
        <w:tc>
          <w:tcPr>
            <w:tcW w:w="1417" w:type="dxa"/>
            <w:shd w:val="clear" w:color="auto" w:fill="FBD4B4" w:themeFill="accent6" w:themeFillTint="66"/>
            <w:vAlign w:val="center"/>
          </w:tcPr>
          <w:p w:rsidR="00C968E8" w:rsidRPr="00C968E8" w:rsidRDefault="00C968E8" w:rsidP="00C968E8">
            <w:pPr>
              <w:spacing w:before="120" w:after="120" w:line="360" w:lineRule="auto"/>
              <w:rPr>
                <w:b/>
                <w:sz w:val="22"/>
                <w:szCs w:val="22"/>
              </w:rPr>
            </w:pPr>
            <w:r w:rsidRPr="00C968E8">
              <w:rPr>
                <w:b/>
                <w:sz w:val="22"/>
                <w:szCs w:val="22"/>
              </w:rPr>
              <w:t>Timescale</w:t>
            </w:r>
          </w:p>
        </w:tc>
        <w:tc>
          <w:tcPr>
            <w:tcW w:w="1559" w:type="dxa"/>
            <w:shd w:val="clear" w:color="auto" w:fill="FBD4B4" w:themeFill="accent6" w:themeFillTint="66"/>
            <w:vAlign w:val="center"/>
          </w:tcPr>
          <w:p w:rsidR="00C968E8" w:rsidRPr="00C968E8" w:rsidRDefault="00C968E8" w:rsidP="00C968E8">
            <w:pPr>
              <w:spacing w:before="120" w:after="120" w:line="360" w:lineRule="auto"/>
              <w:rPr>
                <w:b/>
                <w:sz w:val="22"/>
                <w:szCs w:val="22"/>
              </w:rPr>
            </w:pPr>
            <w:r w:rsidRPr="00C968E8">
              <w:rPr>
                <w:b/>
                <w:sz w:val="22"/>
                <w:szCs w:val="22"/>
              </w:rPr>
              <w:t>Amount</w:t>
            </w:r>
          </w:p>
        </w:tc>
        <w:tc>
          <w:tcPr>
            <w:tcW w:w="5732" w:type="dxa"/>
            <w:shd w:val="clear" w:color="auto" w:fill="FBD4B4" w:themeFill="accent6" w:themeFillTint="66"/>
            <w:vAlign w:val="center"/>
          </w:tcPr>
          <w:p w:rsidR="00C968E8" w:rsidRPr="00C968E8" w:rsidRDefault="00C968E8" w:rsidP="00C968E8">
            <w:pPr>
              <w:spacing w:before="120" w:after="120" w:line="360" w:lineRule="auto"/>
              <w:rPr>
                <w:b/>
                <w:sz w:val="22"/>
                <w:szCs w:val="22"/>
              </w:rPr>
            </w:pPr>
            <w:r w:rsidRPr="00C968E8">
              <w:rPr>
                <w:b/>
                <w:sz w:val="22"/>
                <w:szCs w:val="22"/>
              </w:rPr>
              <w:t>Description</w:t>
            </w:r>
          </w:p>
        </w:tc>
      </w:tr>
      <w:tr w:rsidR="00C968E8" w:rsidTr="00E12CD9">
        <w:tc>
          <w:tcPr>
            <w:tcW w:w="1417" w:type="dxa"/>
            <w:vAlign w:val="center"/>
          </w:tcPr>
          <w:p w:rsidR="00C968E8" w:rsidRPr="00C968E8" w:rsidRDefault="00C968E8" w:rsidP="00C968E8">
            <w:pPr>
              <w:spacing w:before="120" w:after="120" w:line="360" w:lineRule="auto"/>
              <w:rPr>
                <w:sz w:val="22"/>
                <w:szCs w:val="22"/>
              </w:rPr>
            </w:pPr>
            <w:r w:rsidRPr="00C968E8">
              <w:rPr>
                <w:sz w:val="22"/>
                <w:szCs w:val="22"/>
              </w:rPr>
              <w:t>After initial 12 week period</w:t>
            </w:r>
          </w:p>
        </w:tc>
        <w:tc>
          <w:tcPr>
            <w:tcW w:w="1559" w:type="dxa"/>
            <w:vAlign w:val="center"/>
          </w:tcPr>
          <w:p w:rsidR="00C968E8" w:rsidRDefault="00C968E8" w:rsidP="00AA6D78">
            <w:pPr>
              <w:spacing w:before="120" w:after="120" w:line="360" w:lineRule="auto"/>
              <w:rPr>
                <w:sz w:val="22"/>
                <w:szCs w:val="22"/>
              </w:rPr>
            </w:pPr>
            <w:r>
              <w:rPr>
                <w:sz w:val="22"/>
                <w:szCs w:val="22"/>
              </w:rPr>
              <w:t>£1,</w:t>
            </w:r>
            <w:r w:rsidR="00AA6D78">
              <w:rPr>
                <w:sz w:val="22"/>
                <w:szCs w:val="22"/>
              </w:rPr>
              <w:t>5</w:t>
            </w:r>
            <w:r>
              <w:rPr>
                <w:sz w:val="22"/>
                <w:szCs w:val="22"/>
              </w:rPr>
              <w:t>00</w:t>
            </w:r>
          </w:p>
        </w:tc>
        <w:tc>
          <w:tcPr>
            <w:tcW w:w="5732" w:type="dxa"/>
            <w:vAlign w:val="center"/>
          </w:tcPr>
          <w:p w:rsidR="00C968E8" w:rsidRPr="00C968E8" w:rsidRDefault="00C968E8" w:rsidP="00C968E8">
            <w:pPr>
              <w:spacing w:before="120" w:after="120" w:line="360" w:lineRule="auto"/>
              <w:rPr>
                <w:b/>
                <w:i/>
                <w:sz w:val="22"/>
                <w:szCs w:val="22"/>
              </w:rPr>
            </w:pPr>
            <w:r w:rsidRPr="00C968E8">
              <w:rPr>
                <w:b/>
                <w:i/>
                <w:sz w:val="22"/>
                <w:szCs w:val="22"/>
              </w:rPr>
              <w:t>Employment incentive</w:t>
            </w:r>
          </w:p>
          <w:p w:rsidR="00C968E8" w:rsidRDefault="00C968E8" w:rsidP="00C968E8">
            <w:pPr>
              <w:spacing w:before="120" w:after="120" w:line="360" w:lineRule="auto"/>
              <w:rPr>
                <w:sz w:val="22"/>
                <w:szCs w:val="22"/>
              </w:rPr>
            </w:pPr>
            <w:r>
              <w:rPr>
                <w:sz w:val="22"/>
                <w:szCs w:val="22"/>
              </w:rPr>
              <w:t xml:space="preserve">Payable once </w:t>
            </w:r>
            <w:r w:rsidR="00EB66CE">
              <w:rPr>
                <w:sz w:val="22"/>
                <w:szCs w:val="22"/>
              </w:rPr>
              <w:t xml:space="preserve">PCWTH </w:t>
            </w:r>
            <w:r>
              <w:rPr>
                <w:sz w:val="22"/>
                <w:szCs w:val="22"/>
              </w:rPr>
              <w:t>has received the following information;</w:t>
            </w:r>
          </w:p>
          <w:p w:rsidR="00C968E8" w:rsidRPr="00C968E8" w:rsidRDefault="00C968E8" w:rsidP="00C968E8">
            <w:pPr>
              <w:pStyle w:val="ListParagraph"/>
              <w:numPr>
                <w:ilvl w:val="0"/>
                <w:numId w:val="28"/>
              </w:numPr>
              <w:spacing w:before="120" w:after="120" w:line="360" w:lineRule="auto"/>
              <w:rPr>
                <w:sz w:val="22"/>
                <w:szCs w:val="22"/>
              </w:rPr>
            </w:pPr>
            <w:r w:rsidRPr="00C968E8">
              <w:rPr>
                <w:sz w:val="22"/>
                <w:szCs w:val="22"/>
              </w:rPr>
              <w:t>Name of preceptor supporting the new nurse</w:t>
            </w:r>
          </w:p>
          <w:p w:rsidR="00C968E8" w:rsidRDefault="00C968E8" w:rsidP="00C968E8">
            <w:pPr>
              <w:pStyle w:val="ListParagraph"/>
              <w:numPr>
                <w:ilvl w:val="0"/>
                <w:numId w:val="28"/>
              </w:numPr>
              <w:spacing w:before="120" w:after="120" w:line="360" w:lineRule="auto"/>
              <w:rPr>
                <w:sz w:val="22"/>
                <w:szCs w:val="22"/>
              </w:rPr>
            </w:pPr>
            <w:r w:rsidRPr="00C968E8">
              <w:rPr>
                <w:sz w:val="22"/>
                <w:szCs w:val="22"/>
              </w:rPr>
              <w:t>Copy of the educational plan</w:t>
            </w:r>
          </w:p>
          <w:p w:rsidR="00E12CD9" w:rsidRPr="00C968E8" w:rsidRDefault="00E12CD9" w:rsidP="00C968E8">
            <w:pPr>
              <w:pStyle w:val="ListParagraph"/>
              <w:numPr>
                <w:ilvl w:val="0"/>
                <w:numId w:val="28"/>
              </w:numPr>
              <w:spacing w:before="120" w:after="120" w:line="360" w:lineRule="auto"/>
              <w:rPr>
                <w:sz w:val="22"/>
                <w:szCs w:val="22"/>
              </w:rPr>
            </w:pPr>
            <w:r>
              <w:rPr>
                <w:sz w:val="22"/>
                <w:szCs w:val="22"/>
              </w:rPr>
              <w:t>PIN number of new member of staff</w:t>
            </w:r>
          </w:p>
        </w:tc>
      </w:tr>
      <w:tr w:rsidR="00C968E8" w:rsidTr="00E12CD9">
        <w:tc>
          <w:tcPr>
            <w:tcW w:w="1417" w:type="dxa"/>
            <w:vAlign w:val="center"/>
          </w:tcPr>
          <w:p w:rsidR="00C968E8" w:rsidRDefault="00C968E8" w:rsidP="00C968E8">
            <w:pPr>
              <w:spacing w:before="120" w:after="120" w:line="360" w:lineRule="auto"/>
              <w:rPr>
                <w:sz w:val="22"/>
                <w:szCs w:val="22"/>
              </w:rPr>
            </w:pPr>
            <w:r>
              <w:rPr>
                <w:sz w:val="22"/>
                <w:szCs w:val="22"/>
              </w:rPr>
              <w:t>After mentorship qualification gained</w:t>
            </w:r>
          </w:p>
        </w:tc>
        <w:tc>
          <w:tcPr>
            <w:tcW w:w="1559" w:type="dxa"/>
            <w:vAlign w:val="center"/>
          </w:tcPr>
          <w:p w:rsidR="00C968E8" w:rsidRDefault="00C968E8" w:rsidP="00AA6D78">
            <w:pPr>
              <w:spacing w:before="120" w:after="120" w:line="360" w:lineRule="auto"/>
              <w:rPr>
                <w:sz w:val="22"/>
                <w:szCs w:val="22"/>
              </w:rPr>
            </w:pPr>
            <w:r>
              <w:rPr>
                <w:sz w:val="22"/>
                <w:szCs w:val="22"/>
              </w:rPr>
              <w:t>£1,</w:t>
            </w:r>
            <w:r w:rsidR="00AA6D78">
              <w:rPr>
                <w:sz w:val="22"/>
                <w:szCs w:val="22"/>
              </w:rPr>
              <w:t>5</w:t>
            </w:r>
            <w:r>
              <w:rPr>
                <w:sz w:val="22"/>
                <w:szCs w:val="22"/>
              </w:rPr>
              <w:t>00</w:t>
            </w:r>
          </w:p>
        </w:tc>
        <w:tc>
          <w:tcPr>
            <w:tcW w:w="5732" w:type="dxa"/>
            <w:vAlign w:val="center"/>
          </w:tcPr>
          <w:p w:rsidR="00C968E8" w:rsidRPr="00C968E8" w:rsidRDefault="00C968E8" w:rsidP="00C968E8">
            <w:pPr>
              <w:spacing w:before="120" w:after="120" w:line="360" w:lineRule="auto"/>
              <w:rPr>
                <w:b/>
                <w:i/>
                <w:sz w:val="22"/>
                <w:szCs w:val="22"/>
              </w:rPr>
            </w:pPr>
            <w:r w:rsidRPr="00C968E8">
              <w:rPr>
                <w:b/>
                <w:i/>
                <w:sz w:val="22"/>
                <w:szCs w:val="22"/>
              </w:rPr>
              <w:t>Mentorship incentive</w:t>
            </w:r>
          </w:p>
          <w:p w:rsidR="00C968E8" w:rsidRDefault="00C968E8" w:rsidP="00C968E8">
            <w:pPr>
              <w:spacing w:before="120" w:after="120" w:line="360" w:lineRule="auto"/>
              <w:rPr>
                <w:sz w:val="22"/>
                <w:szCs w:val="22"/>
              </w:rPr>
            </w:pPr>
            <w:r>
              <w:rPr>
                <w:sz w:val="22"/>
                <w:szCs w:val="22"/>
              </w:rPr>
              <w:t xml:space="preserve">Payable once an approved NMC mentorship qualification has been gained </w:t>
            </w:r>
            <w:r w:rsidRPr="00C968E8">
              <w:rPr>
                <w:i/>
                <w:sz w:val="22"/>
                <w:szCs w:val="22"/>
              </w:rPr>
              <w:t>(not before 12 months in post)</w:t>
            </w:r>
          </w:p>
        </w:tc>
      </w:tr>
      <w:tr w:rsidR="00C968E8" w:rsidTr="00E12CD9">
        <w:tc>
          <w:tcPr>
            <w:tcW w:w="1417" w:type="dxa"/>
            <w:vAlign w:val="center"/>
          </w:tcPr>
          <w:p w:rsidR="00C968E8" w:rsidRDefault="00C968E8" w:rsidP="00C968E8">
            <w:pPr>
              <w:spacing w:before="120" w:after="120" w:line="360" w:lineRule="auto"/>
              <w:rPr>
                <w:sz w:val="22"/>
                <w:szCs w:val="22"/>
              </w:rPr>
            </w:pPr>
            <w:r>
              <w:rPr>
                <w:sz w:val="22"/>
                <w:szCs w:val="22"/>
              </w:rPr>
              <w:t>When required in initial two year period</w:t>
            </w:r>
          </w:p>
        </w:tc>
        <w:tc>
          <w:tcPr>
            <w:tcW w:w="1559" w:type="dxa"/>
            <w:vAlign w:val="center"/>
          </w:tcPr>
          <w:p w:rsidR="00C968E8" w:rsidRDefault="00C968E8" w:rsidP="00AA6D78">
            <w:pPr>
              <w:spacing w:before="120" w:after="120" w:line="360" w:lineRule="auto"/>
              <w:rPr>
                <w:sz w:val="22"/>
                <w:szCs w:val="22"/>
              </w:rPr>
            </w:pPr>
            <w:r>
              <w:rPr>
                <w:sz w:val="22"/>
                <w:szCs w:val="22"/>
              </w:rPr>
              <w:t>Up to £</w:t>
            </w:r>
            <w:r w:rsidR="00AA6D78">
              <w:rPr>
                <w:sz w:val="22"/>
                <w:szCs w:val="22"/>
              </w:rPr>
              <w:t>5</w:t>
            </w:r>
            <w:r>
              <w:rPr>
                <w:sz w:val="22"/>
                <w:szCs w:val="22"/>
              </w:rPr>
              <w:t>,000</w:t>
            </w:r>
          </w:p>
        </w:tc>
        <w:tc>
          <w:tcPr>
            <w:tcW w:w="5732" w:type="dxa"/>
            <w:vAlign w:val="center"/>
          </w:tcPr>
          <w:p w:rsidR="00C968E8" w:rsidRDefault="00C968E8" w:rsidP="00C968E8">
            <w:pPr>
              <w:spacing w:before="120" w:after="120" w:line="360" w:lineRule="auto"/>
              <w:rPr>
                <w:b/>
                <w:i/>
                <w:sz w:val="22"/>
                <w:szCs w:val="22"/>
              </w:rPr>
            </w:pPr>
            <w:r>
              <w:rPr>
                <w:b/>
                <w:i/>
                <w:sz w:val="22"/>
                <w:szCs w:val="22"/>
              </w:rPr>
              <w:t xml:space="preserve">Education </w:t>
            </w:r>
          </w:p>
          <w:p w:rsidR="00C968E8" w:rsidRPr="00C968E8" w:rsidRDefault="005F6082" w:rsidP="005F6082">
            <w:pPr>
              <w:spacing w:before="120" w:after="120" w:line="360" w:lineRule="auto"/>
              <w:rPr>
                <w:sz w:val="22"/>
                <w:szCs w:val="22"/>
              </w:rPr>
            </w:pPr>
            <w:r>
              <w:rPr>
                <w:sz w:val="22"/>
                <w:szCs w:val="22"/>
              </w:rPr>
              <w:t xml:space="preserve">Education and training funding as detailed in the submitted Educational plan (as above).  </w:t>
            </w:r>
          </w:p>
        </w:tc>
      </w:tr>
    </w:tbl>
    <w:p w:rsidR="00CE6CD5" w:rsidRDefault="00CE6CD5" w:rsidP="00CE6CD5">
      <w:pPr>
        <w:spacing w:line="360" w:lineRule="auto"/>
        <w:rPr>
          <w:sz w:val="22"/>
          <w:szCs w:val="22"/>
        </w:rPr>
      </w:pPr>
    </w:p>
    <w:p w:rsidR="00091AB0" w:rsidRPr="004A4B75" w:rsidRDefault="005F6082" w:rsidP="004A4B75">
      <w:pPr>
        <w:pStyle w:val="Heading2"/>
        <w:rPr>
          <w:rFonts w:ascii="Arial" w:eastAsia="Times New Roman" w:hAnsi="Arial" w:cs="Arial"/>
        </w:rPr>
      </w:pPr>
      <w:bookmarkStart w:id="6" w:name="_Toc481760991"/>
      <w:r w:rsidRPr="004A4B75">
        <w:rPr>
          <w:rFonts w:ascii="Arial" w:eastAsia="Times New Roman" w:hAnsi="Arial" w:cs="Arial"/>
        </w:rPr>
        <w:lastRenderedPageBreak/>
        <w:t>U</w:t>
      </w:r>
      <w:r w:rsidR="00091AB0" w:rsidRPr="004A4B75">
        <w:rPr>
          <w:rFonts w:ascii="Arial" w:eastAsia="Times New Roman" w:hAnsi="Arial" w:cs="Arial"/>
        </w:rPr>
        <w:t>tilisation</w:t>
      </w:r>
      <w:bookmarkEnd w:id="6"/>
    </w:p>
    <w:p w:rsidR="00091AB0" w:rsidRPr="005F6082" w:rsidRDefault="00091AB0" w:rsidP="004A4B75">
      <w:pPr>
        <w:spacing w:before="120" w:after="120" w:line="276" w:lineRule="auto"/>
        <w:ind w:left="576"/>
        <w:rPr>
          <w:sz w:val="22"/>
          <w:szCs w:val="22"/>
        </w:rPr>
      </w:pPr>
      <w:r w:rsidRPr="005F6082">
        <w:rPr>
          <w:sz w:val="22"/>
          <w:szCs w:val="22"/>
        </w:rPr>
        <w:t>The financial support is to be utilised to support the education/learning aspects of a nurse preceptorship period</w:t>
      </w:r>
      <w:r w:rsidR="005F6082">
        <w:rPr>
          <w:sz w:val="22"/>
          <w:szCs w:val="22"/>
        </w:rPr>
        <w:t>.</w:t>
      </w:r>
      <w:r w:rsidR="005F6082" w:rsidRPr="005F6082">
        <w:rPr>
          <w:sz w:val="22"/>
          <w:szCs w:val="22"/>
        </w:rPr>
        <w:t xml:space="preserve">  </w:t>
      </w:r>
      <w:r w:rsidRPr="005F6082">
        <w:rPr>
          <w:sz w:val="22"/>
          <w:szCs w:val="22"/>
        </w:rPr>
        <w:t>This may include but is not limited to; manage long term conditions, perform immunisation and vaccination procedures, manage sexual and women’s health interventions, and navigate complex multiple packages of care across the entire life span of a patient</w:t>
      </w:r>
      <w:r w:rsidR="005F6082">
        <w:rPr>
          <w:sz w:val="22"/>
          <w:szCs w:val="22"/>
        </w:rPr>
        <w:t>.</w:t>
      </w:r>
    </w:p>
    <w:p w:rsidR="00091AB0" w:rsidRDefault="00091AB0" w:rsidP="004A4B75">
      <w:pPr>
        <w:spacing w:before="120" w:after="120" w:line="276" w:lineRule="auto"/>
        <w:ind w:left="576"/>
        <w:rPr>
          <w:sz w:val="22"/>
          <w:szCs w:val="22"/>
        </w:rPr>
      </w:pPr>
      <w:r>
        <w:rPr>
          <w:sz w:val="22"/>
          <w:szCs w:val="22"/>
        </w:rPr>
        <w:t xml:space="preserve">It is </w:t>
      </w:r>
      <w:r w:rsidRPr="00410EA5">
        <w:rPr>
          <w:b/>
          <w:sz w:val="22"/>
          <w:szCs w:val="22"/>
          <w:u w:val="single"/>
        </w:rPr>
        <w:t>not</w:t>
      </w:r>
      <w:r>
        <w:rPr>
          <w:sz w:val="22"/>
          <w:szCs w:val="22"/>
        </w:rPr>
        <w:t xml:space="preserve"> designed be utilised to;</w:t>
      </w:r>
    </w:p>
    <w:p w:rsidR="00091AB0" w:rsidRDefault="00091AB0" w:rsidP="004A4B75">
      <w:pPr>
        <w:pStyle w:val="ListParagraph"/>
        <w:numPr>
          <w:ilvl w:val="0"/>
          <w:numId w:val="4"/>
        </w:numPr>
        <w:spacing w:before="120" w:after="120" w:line="276" w:lineRule="auto"/>
        <w:ind w:left="1296"/>
        <w:rPr>
          <w:sz w:val="22"/>
          <w:szCs w:val="22"/>
        </w:rPr>
      </w:pPr>
      <w:r>
        <w:rPr>
          <w:sz w:val="22"/>
          <w:szCs w:val="22"/>
        </w:rPr>
        <w:t>S</w:t>
      </w:r>
      <w:r w:rsidRPr="00410EA5">
        <w:rPr>
          <w:sz w:val="22"/>
          <w:szCs w:val="22"/>
        </w:rPr>
        <w:t>upport any other activities relating to the employment of new staff such as statutory</w:t>
      </w:r>
      <w:r>
        <w:rPr>
          <w:sz w:val="22"/>
          <w:szCs w:val="22"/>
        </w:rPr>
        <w:t xml:space="preserve"> and mandatory training</w:t>
      </w:r>
    </w:p>
    <w:p w:rsidR="00091AB0" w:rsidRDefault="00091AB0" w:rsidP="004A4B75">
      <w:pPr>
        <w:pStyle w:val="ListParagraph"/>
        <w:numPr>
          <w:ilvl w:val="0"/>
          <w:numId w:val="4"/>
        </w:numPr>
        <w:spacing w:before="120" w:after="120" w:line="276" w:lineRule="auto"/>
        <w:ind w:left="1296"/>
        <w:rPr>
          <w:sz w:val="22"/>
          <w:szCs w:val="22"/>
        </w:rPr>
      </w:pPr>
      <w:r>
        <w:rPr>
          <w:sz w:val="22"/>
          <w:szCs w:val="22"/>
        </w:rPr>
        <w:t>Supplement or replace local practice i</w:t>
      </w:r>
      <w:r w:rsidRPr="00410EA5">
        <w:rPr>
          <w:sz w:val="22"/>
          <w:szCs w:val="22"/>
        </w:rPr>
        <w:t xml:space="preserve">nduction </w:t>
      </w:r>
    </w:p>
    <w:p w:rsidR="00091AB0" w:rsidRPr="00410EA5" w:rsidRDefault="00091AB0" w:rsidP="004A4B75">
      <w:pPr>
        <w:pStyle w:val="ListParagraph"/>
        <w:numPr>
          <w:ilvl w:val="0"/>
          <w:numId w:val="4"/>
        </w:numPr>
        <w:spacing w:before="120" w:after="120" w:line="276" w:lineRule="auto"/>
        <w:ind w:left="1296"/>
        <w:rPr>
          <w:sz w:val="22"/>
          <w:szCs w:val="22"/>
        </w:rPr>
      </w:pPr>
      <w:r>
        <w:rPr>
          <w:sz w:val="22"/>
          <w:szCs w:val="22"/>
        </w:rPr>
        <w:t>Support non education or training related preceptorship activities</w:t>
      </w:r>
    </w:p>
    <w:p w:rsidR="00091AB0" w:rsidRDefault="00091AB0" w:rsidP="004A4B75">
      <w:pPr>
        <w:pStyle w:val="ListParagraph"/>
        <w:numPr>
          <w:ilvl w:val="0"/>
          <w:numId w:val="4"/>
        </w:numPr>
        <w:spacing w:before="120" w:after="120" w:line="276" w:lineRule="auto"/>
        <w:ind w:left="1296"/>
        <w:rPr>
          <w:sz w:val="22"/>
          <w:szCs w:val="22"/>
        </w:rPr>
      </w:pPr>
      <w:r>
        <w:rPr>
          <w:sz w:val="22"/>
          <w:szCs w:val="22"/>
        </w:rPr>
        <w:t>Pay for new legal or legislative training requirements relating to the provision of primary care services</w:t>
      </w:r>
    </w:p>
    <w:p w:rsidR="00DE208E" w:rsidRDefault="00091AB0" w:rsidP="004A4B75">
      <w:pPr>
        <w:spacing w:line="276" w:lineRule="auto"/>
        <w:ind w:left="576"/>
        <w:rPr>
          <w:sz w:val="22"/>
          <w:szCs w:val="22"/>
        </w:rPr>
      </w:pPr>
      <w:r>
        <w:rPr>
          <w:sz w:val="22"/>
          <w:szCs w:val="22"/>
        </w:rPr>
        <w:t xml:space="preserve">Information regarding payment utilisation may be required by the </w:t>
      </w:r>
      <w:r w:rsidR="0023126F">
        <w:rPr>
          <w:sz w:val="22"/>
          <w:szCs w:val="22"/>
        </w:rPr>
        <w:t>PCWTH</w:t>
      </w:r>
      <w:r>
        <w:rPr>
          <w:sz w:val="22"/>
          <w:szCs w:val="22"/>
        </w:rPr>
        <w:t>/HEE at any time as part of an auditing of the scheme</w:t>
      </w:r>
      <w:r w:rsidR="005F6082">
        <w:rPr>
          <w:sz w:val="22"/>
          <w:szCs w:val="22"/>
        </w:rPr>
        <w:t>.</w:t>
      </w:r>
    </w:p>
    <w:p w:rsidR="00A432E2" w:rsidRDefault="00A432E2" w:rsidP="004A4B75">
      <w:pPr>
        <w:spacing w:line="276" w:lineRule="auto"/>
        <w:ind w:left="576"/>
        <w:rPr>
          <w:sz w:val="22"/>
          <w:szCs w:val="22"/>
        </w:rPr>
      </w:pPr>
    </w:p>
    <w:p w:rsidR="00E12CD9" w:rsidRDefault="00E12CD9" w:rsidP="004A4B75">
      <w:pPr>
        <w:spacing w:line="276" w:lineRule="auto"/>
        <w:ind w:left="576"/>
        <w:rPr>
          <w:sz w:val="22"/>
          <w:szCs w:val="22"/>
        </w:rPr>
      </w:pPr>
    </w:p>
    <w:p w:rsidR="004D1691" w:rsidRDefault="004D1691" w:rsidP="004A4B75">
      <w:pPr>
        <w:pStyle w:val="Heading1"/>
        <w:keepNext w:val="0"/>
        <w:keepLines w:val="0"/>
        <w:spacing w:before="0"/>
        <w:rPr>
          <w:rFonts w:ascii="Arial" w:eastAsia="Times New Roman" w:hAnsi="Arial" w:cs="Arial"/>
          <w:bCs/>
          <w:color w:val="0072C6"/>
          <w:kern w:val="32"/>
          <w:sz w:val="32"/>
          <w:szCs w:val="32"/>
        </w:rPr>
      </w:pPr>
      <w:bookmarkStart w:id="7" w:name="_Toc481760992"/>
      <w:r w:rsidRPr="004A4B75">
        <w:rPr>
          <w:rFonts w:ascii="Arial" w:eastAsia="Times New Roman" w:hAnsi="Arial" w:cs="Arial"/>
          <w:bCs/>
          <w:color w:val="0072C6"/>
          <w:kern w:val="32"/>
          <w:sz w:val="32"/>
          <w:szCs w:val="32"/>
        </w:rPr>
        <w:t>F</w:t>
      </w:r>
      <w:r w:rsidR="004A4B75">
        <w:rPr>
          <w:rFonts w:ascii="Arial" w:eastAsia="Times New Roman" w:hAnsi="Arial" w:cs="Arial"/>
          <w:bCs/>
          <w:color w:val="0072C6"/>
          <w:kern w:val="32"/>
          <w:sz w:val="32"/>
          <w:szCs w:val="32"/>
        </w:rPr>
        <w:t xml:space="preserve">requency </w:t>
      </w:r>
      <w:r w:rsidRPr="004A4B75">
        <w:rPr>
          <w:rFonts w:ascii="Arial" w:eastAsia="Times New Roman" w:hAnsi="Arial" w:cs="Arial"/>
          <w:bCs/>
          <w:color w:val="0072C6"/>
          <w:kern w:val="32"/>
          <w:sz w:val="32"/>
          <w:szCs w:val="32"/>
        </w:rPr>
        <w:t>A</w:t>
      </w:r>
      <w:r w:rsidR="004A4B75">
        <w:rPr>
          <w:rFonts w:ascii="Arial" w:eastAsia="Times New Roman" w:hAnsi="Arial" w:cs="Arial"/>
          <w:bCs/>
          <w:color w:val="0072C6"/>
          <w:kern w:val="32"/>
          <w:sz w:val="32"/>
          <w:szCs w:val="32"/>
        </w:rPr>
        <w:t xml:space="preserve">sked </w:t>
      </w:r>
      <w:r w:rsidRPr="004A4B75">
        <w:rPr>
          <w:rFonts w:ascii="Arial" w:eastAsia="Times New Roman" w:hAnsi="Arial" w:cs="Arial"/>
          <w:bCs/>
          <w:color w:val="0072C6"/>
          <w:kern w:val="32"/>
          <w:sz w:val="32"/>
          <w:szCs w:val="32"/>
        </w:rPr>
        <w:t>Q</w:t>
      </w:r>
      <w:r w:rsidR="004A4B75">
        <w:rPr>
          <w:rFonts w:ascii="Arial" w:eastAsia="Times New Roman" w:hAnsi="Arial" w:cs="Arial"/>
          <w:bCs/>
          <w:color w:val="0072C6"/>
          <w:kern w:val="32"/>
          <w:sz w:val="32"/>
          <w:szCs w:val="32"/>
        </w:rPr>
        <w:t>uestions (FAQ</w:t>
      </w:r>
      <w:r w:rsidRPr="004A4B75">
        <w:rPr>
          <w:rFonts w:ascii="Arial" w:eastAsia="Times New Roman" w:hAnsi="Arial" w:cs="Arial"/>
          <w:bCs/>
          <w:color w:val="0072C6"/>
          <w:kern w:val="32"/>
          <w:sz w:val="32"/>
          <w:szCs w:val="32"/>
        </w:rPr>
        <w:t>s</w:t>
      </w:r>
      <w:r w:rsidR="004A4B75">
        <w:rPr>
          <w:rFonts w:ascii="Arial" w:eastAsia="Times New Roman" w:hAnsi="Arial" w:cs="Arial"/>
          <w:bCs/>
          <w:color w:val="0072C6"/>
          <w:kern w:val="32"/>
          <w:sz w:val="32"/>
          <w:szCs w:val="32"/>
        </w:rPr>
        <w:t>)</w:t>
      </w:r>
      <w:bookmarkEnd w:id="7"/>
    </w:p>
    <w:p w:rsidR="004A4B75" w:rsidRPr="004A4B75" w:rsidRDefault="004A4B75" w:rsidP="004A4B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09350A" w:rsidTr="00175BD8">
        <w:tc>
          <w:tcPr>
            <w:tcW w:w="2093" w:type="dxa"/>
          </w:tcPr>
          <w:p w:rsidR="0009350A" w:rsidRDefault="0009350A" w:rsidP="00070A61">
            <w:pPr>
              <w:spacing w:before="120" w:after="120"/>
              <w:rPr>
                <w:b/>
              </w:rPr>
            </w:pPr>
            <w:r>
              <w:rPr>
                <w:b/>
              </w:rPr>
              <w:t>Question</w:t>
            </w:r>
          </w:p>
        </w:tc>
        <w:tc>
          <w:tcPr>
            <w:tcW w:w="7149" w:type="dxa"/>
          </w:tcPr>
          <w:p w:rsidR="0009350A" w:rsidRDefault="0009350A" w:rsidP="00070A61">
            <w:pPr>
              <w:spacing w:before="120" w:after="120"/>
              <w:rPr>
                <w:b/>
              </w:rPr>
            </w:pPr>
            <w:r>
              <w:rPr>
                <w:b/>
              </w:rPr>
              <w:t>Response</w:t>
            </w:r>
          </w:p>
        </w:tc>
      </w:tr>
      <w:tr w:rsidR="00A05404" w:rsidTr="00175BD8">
        <w:trPr>
          <w:trHeight w:val="547"/>
        </w:trPr>
        <w:tc>
          <w:tcPr>
            <w:tcW w:w="2093" w:type="dxa"/>
            <w:vAlign w:val="center"/>
          </w:tcPr>
          <w:p w:rsidR="00A05404" w:rsidRPr="004379A1" w:rsidRDefault="00A05404" w:rsidP="00705D33">
            <w:pPr>
              <w:spacing w:before="120" w:after="120" w:line="276" w:lineRule="auto"/>
              <w:rPr>
                <w:b/>
                <w:color w:val="4F81BD" w:themeColor="accent1"/>
                <w:sz w:val="22"/>
              </w:rPr>
            </w:pPr>
            <w:r w:rsidRPr="004379A1">
              <w:rPr>
                <w:b/>
                <w:color w:val="4F81BD" w:themeColor="accent1"/>
                <w:sz w:val="22"/>
              </w:rPr>
              <w:t>Who should I contact about more information about the scheme?</w:t>
            </w:r>
          </w:p>
        </w:tc>
        <w:tc>
          <w:tcPr>
            <w:tcW w:w="7149" w:type="dxa"/>
          </w:tcPr>
          <w:p w:rsidR="0018603F" w:rsidRPr="00F46209" w:rsidRDefault="0018603F" w:rsidP="0018603F">
            <w:pPr>
              <w:spacing w:before="120" w:after="120" w:line="276" w:lineRule="auto"/>
              <w:rPr>
                <w:rFonts w:cs="Arial"/>
                <w:sz w:val="22"/>
                <w:szCs w:val="22"/>
              </w:rPr>
            </w:pPr>
            <w:r>
              <w:rPr>
                <w:sz w:val="22"/>
              </w:rPr>
              <w:t>Please contact HEE to find your local Primary Care Workforce &amp; Training Hub PCWTH):</w:t>
            </w:r>
          </w:p>
          <w:p w:rsidR="00A05404" w:rsidRPr="0042419E" w:rsidRDefault="0018603F" w:rsidP="0018603F">
            <w:pPr>
              <w:spacing w:before="120" w:after="120" w:line="276" w:lineRule="auto"/>
              <w:rPr>
                <w:sz w:val="22"/>
              </w:rPr>
            </w:pPr>
            <w:hyperlink r:id="rId9" w:history="1">
              <w:r w:rsidRPr="00F46209">
                <w:rPr>
                  <w:rStyle w:val="Hyperlink"/>
                  <w:rFonts w:cs="Arial"/>
                  <w:color w:val="A00054"/>
                  <w:sz w:val="22"/>
                  <w:szCs w:val="22"/>
                </w:rPr>
                <w:t>traininghubs@hee.nhs.uk</w:t>
              </w:r>
            </w:hyperlink>
            <w:r>
              <w:rPr>
                <w:rStyle w:val="Hyperlink"/>
                <w:rFonts w:cs="Arial"/>
                <w:color w:val="A00054"/>
                <w:sz w:val="22"/>
                <w:szCs w:val="22"/>
              </w:rPr>
              <w:t xml:space="preserve"> </w:t>
            </w:r>
            <w:bookmarkStart w:id="8" w:name="_GoBack"/>
            <w:bookmarkEnd w:id="8"/>
          </w:p>
        </w:tc>
      </w:tr>
      <w:tr w:rsidR="008D23A8" w:rsidTr="00175BD8">
        <w:trPr>
          <w:trHeight w:val="275"/>
        </w:trPr>
        <w:tc>
          <w:tcPr>
            <w:tcW w:w="2093" w:type="dxa"/>
            <w:vAlign w:val="center"/>
          </w:tcPr>
          <w:p w:rsidR="008D23A8" w:rsidRPr="004379A1" w:rsidRDefault="008D23A8" w:rsidP="008D23A8">
            <w:pPr>
              <w:spacing w:before="120" w:after="120" w:line="276" w:lineRule="auto"/>
              <w:rPr>
                <w:b/>
                <w:color w:val="4F81BD" w:themeColor="accent1"/>
                <w:sz w:val="22"/>
              </w:rPr>
            </w:pPr>
            <w:r w:rsidRPr="004379A1">
              <w:rPr>
                <w:b/>
                <w:color w:val="4F81BD" w:themeColor="accent1"/>
                <w:sz w:val="22"/>
              </w:rPr>
              <w:t>Why are you only offering this scheme to new qualified nurses or RTP ones?</w:t>
            </w:r>
          </w:p>
        </w:tc>
        <w:tc>
          <w:tcPr>
            <w:tcW w:w="7149" w:type="dxa"/>
            <w:vAlign w:val="center"/>
          </w:tcPr>
          <w:p w:rsidR="008D23A8" w:rsidRPr="00070A61" w:rsidRDefault="008D23A8" w:rsidP="008D23A8">
            <w:pPr>
              <w:spacing w:before="120" w:after="120" w:line="276" w:lineRule="auto"/>
              <w:rPr>
                <w:sz w:val="22"/>
              </w:rPr>
            </w:pPr>
            <w:r>
              <w:rPr>
                <w:sz w:val="22"/>
              </w:rPr>
              <w:t>As stated in the introduction, this scheme is intended to encourage practices to move away from ‘recycle and poach’ approach to recruiting experienced staff from neighbouring practices</w:t>
            </w:r>
          </w:p>
        </w:tc>
      </w:tr>
      <w:tr w:rsidR="008D23A8" w:rsidTr="00175BD8">
        <w:trPr>
          <w:trHeight w:val="275"/>
        </w:trPr>
        <w:tc>
          <w:tcPr>
            <w:tcW w:w="2093" w:type="dxa"/>
            <w:vAlign w:val="center"/>
          </w:tcPr>
          <w:p w:rsidR="008D23A8" w:rsidRPr="004379A1" w:rsidRDefault="008D23A8" w:rsidP="00705D33">
            <w:pPr>
              <w:spacing w:before="120" w:after="120" w:line="276" w:lineRule="auto"/>
              <w:rPr>
                <w:b/>
                <w:color w:val="4F81BD" w:themeColor="accent1"/>
                <w:sz w:val="22"/>
              </w:rPr>
            </w:pPr>
            <w:r w:rsidRPr="00D75A90">
              <w:rPr>
                <w:b/>
                <w:color w:val="4F81BD" w:themeColor="accent1"/>
                <w:sz w:val="22"/>
              </w:rPr>
              <w:t xml:space="preserve">Does </w:t>
            </w:r>
            <w:r>
              <w:rPr>
                <w:b/>
                <w:color w:val="4F81BD" w:themeColor="accent1"/>
                <w:sz w:val="22"/>
              </w:rPr>
              <w:t xml:space="preserve">the proposed GPN need to be </w:t>
            </w:r>
            <w:r w:rsidRPr="00D75A90">
              <w:rPr>
                <w:b/>
                <w:color w:val="4F81BD" w:themeColor="accent1"/>
                <w:sz w:val="22"/>
              </w:rPr>
              <w:t>full time?</w:t>
            </w:r>
          </w:p>
        </w:tc>
        <w:tc>
          <w:tcPr>
            <w:tcW w:w="7149" w:type="dxa"/>
            <w:vAlign w:val="center"/>
          </w:tcPr>
          <w:p w:rsidR="008D23A8" w:rsidRPr="00705D33" w:rsidRDefault="008D23A8" w:rsidP="005F6082">
            <w:pPr>
              <w:spacing w:before="120" w:after="120" w:line="276" w:lineRule="auto"/>
              <w:rPr>
                <w:sz w:val="22"/>
              </w:rPr>
            </w:pPr>
            <w:r w:rsidRPr="00705D33">
              <w:rPr>
                <w:sz w:val="22"/>
              </w:rPr>
              <w:t>Both full-time and part-time employees will be considered for the scheme.  Regardless to the hours worked, all new staff will require the same level of training in potentially the same number of topics.</w:t>
            </w:r>
          </w:p>
        </w:tc>
      </w:tr>
      <w:tr w:rsidR="008D23A8" w:rsidTr="00175BD8">
        <w:trPr>
          <w:trHeight w:val="1129"/>
        </w:trPr>
        <w:tc>
          <w:tcPr>
            <w:tcW w:w="2093" w:type="dxa"/>
          </w:tcPr>
          <w:p w:rsidR="008D23A8" w:rsidRPr="004379A1" w:rsidRDefault="008D23A8" w:rsidP="006D50B4">
            <w:pPr>
              <w:spacing w:before="120" w:after="120" w:line="276" w:lineRule="auto"/>
              <w:rPr>
                <w:b/>
                <w:color w:val="4F81BD" w:themeColor="accent1"/>
                <w:sz w:val="22"/>
              </w:rPr>
            </w:pPr>
            <w:r>
              <w:rPr>
                <w:b/>
                <w:color w:val="4F81BD" w:themeColor="accent1"/>
                <w:sz w:val="22"/>
              </w:rPr>
              <w:t>What happens if two or more practices employ the same individual?</w:t>
            </w:r>
          </w:p>
        </w:tc>
        <w:tc>
          <w:tcPr>
            <w:tcW w:w="7149" w:type="dxa"/>
            <w:vAlign w:val="center"/>
          </w:tcPr>
          <w:p w:rsidR="008D23A8" w:rsidRPr="00705D33" w:rsidRDefault="008D23A8" w:rsidP="00A71267">
            <w:pPr>
              <w:spacing w:before="120" w:after="120" w:line="276" w:lineRule="auto"/>
              <w:rPr>
                <w:sz w:val="22"/>
              </w:rPr>
            </w:pPr>
            <w:r w:rsidRPr="00705D33">
              <w:rPr>
                <w:sz w:val="22"/>
              </w:rPr>
              <w:t>Both practices will receive the employment incentive however the mentorship and education support monies are individual specific i.e. a new GPN would only have up to £</w:t>
            </w:r>
            <w:r w:rsidR="00A71267">
              <w:rPr>
                <w:sz w:val="22"/>
              </w:rPr>
              <w:t>5</w:t>
            </w:r>
            <w:r w:rsidRPr="00705D33">
              <w:rPr>
                <w:sz w:val="22"/>
              </w:rPr>
              <w:t>k for training and the mentorship payment could be shared amongst employing practices.</w:t>
            </w:r>
          </w:p>
        </w:tc>
      </w:tr>
    </w:tbl>
    <w:p w:rsidR="00EF5F53" w:rsidRDefault="00EF5F53"/>
    <w:p w:rsidR="00EF5F53" w:rsidRDefault="00EF5F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EF5F53" w:rsidTr="00EF5F53">
        <w:trPr>
          <w:trHeight w:val="73"/>
        </w:trPr>
        <w:tc>
          <w:tcPr>
            <w:tcW w:w="2093" w:type="dxa"/>
          </w:tcPr>
          <w:p w:rsidR="00EF5F53" w:rsidRDefault="00EF5F53" w:rsidP="001700A4">
            <w:pPr>
              <w:spacing w:before="120" w:after="120"/>
              <w:rPr>
                <w:b/>
              </w:rPr>
            </w:pPr>
            <w:r>
              <w:rPr>
                <w:b/>
              </w:rPr>
              <w:lastRenderedPageBreak/>
              <w:t>Question</w:t>
            </w:r>
          </w:p>
        </w:tc>
        <w:tc>
          <w:tcPr>
            <w:tcW w:w="7149" w:type="dxa"/>
          </w:tcPr>
          <w:p w:rsidR="00EF5F53" w:rsidRDefault="00EF5F53" w:rsidP="001700A4">
            <w:pPr>
              <w:spacing w:before="120" w:after="120"/>
              <w:rPr>
                <w:b/>
              </w:rPr>
            </w:pPr>
            <w:r>
              <w:rPr>
                <w:b/>
              </w:rPr>
              <w:t>Response</w:t>
            </w:r>
          </w:p>
        </w:tc>
      </w:tr>
      <w:tr w:rsidR="00EF5F53" w:rsidTr="00175BD8">
        <w:trPr>
          <w:trHeight w:val="1138"/>
        </w:trPr>
        <w:tc>
          <w:tcPr>
            <w:tcW w:w="2093" w:type="dxa"/>
            <w:vAlign w:val="center"/>
          </w:tcPr>
          <w:p w:rsidR="00EF5F53" w:rsidRPr="004379A1" w:rsidRDefault="00EF5F53" w:rsidP="00705D33">
            <w:pPr>
              <w:spacing w:before="120" w:after="120" w:line="276" w:lineRule="auto"/>
              <w:rPr>
                <w:b/>
                <w:color w:val="4F81BD" w:themeColor="accent1"/>
                <w:sz w:val="22"/>
              </w:rPr>
            </w:pPr>
            <w:r>
              <w:rPr>
                <w:b/>
                <w:color w:val="4F81BD" w:themeColor="accent1"/>
                <w:sz w:val="22"/>
              </w:rPr>
              <w:t>Is there a standard educational offer for new GPNs?</w:t>
            </w:r>
          </w:p>
        </w:tc>
        <w:tc>
          <w:tcPr>
            <w:tcW w:w="7149" w:type="dxa"/>
          </w:tcPr>
          <w:p w:rsidR="00EF5F53" w:rsidRPr="00A71267" w:rsidRDefault="00EF5F53" w:rsidP="00D75A90">
            <w:pPr>
              <w:spacing w:before="120" w:after="120" w:line="276" w:lineRule="auto"/>
              <w:rPr>
                <w:sz w:val="22"/>
                <w:szCs w:val="22"/>
              </w:rPr>
            </w:pPr>
            <w:r w:rsidRPr="00A71267">
              <w:rPr>
                <w:sz w:val="22"/>
                <w:szCs w:val="22"/>
              </w:rPr>
              <w:t xml:space="preserve">Currently there is no standard agreement or education and training offer available countrywide on what educational support a new GPN would need.   However there are recommendations from various bodies including HEE itself.  There is ongoing work within the region, which the </w:t>
            </w:r>
            <w:r w:rsidR="00EB66CE">
              <w:rPr>
                <w:sz w:val="22"/>
                <w:szCs w:val="22"/>
              </w:rPr>
              <w:t>PCWTH</w:t>
            </w:r>
            <w:r w:rsidR="0023126F">
              <w:rPr>
                <w:sz w:val="22"/>
                <w:szCs w:val="22"/>
              </w:rPr>
              <w:t xml:space="preserve"> </w:t>
            </w:r>
            <w:r w:rsidRPr="00A71267">
              <w:rPr>
                <w:sz w:val="22"/>
                <w:szCs w:val="22"/>
              </w:rPr>
              <w:t>are now involved in, to look at what would ideally be part of the educational journey for a new GPN.  This work will include looking at which skills might be required when before then looking at what is currently available and potentially commissioning additional courses (subject to available funds).</w:t>
            </w:r>
          </w:p>
          <w:p w:rsidR="00EF5F53" w:rsidRPr="00A71267" w:rsidRDefault="00EF5F53" w:rsidP="00D75A90">
            <w:pPr>
              <w:spacing w:before="120" w:after="120" w:line="276" w:lineRule="auto"/>
              <w:rPr>
                <w:sz w:val="22"/>
                <w:szCs w:val="22"/>
              </w:rPr>
            </w:pPr>
            <w:r w:rsidRPr="00A71267">
              <w:rPr>
                <w:sz w:val="22"/>
                <w:szCs w:val="22"/>
              </w:rPr>
              <w:t xml:space="preserve">Your </w:t>
            </w:r>
            <w:r w:rsidR="00EB66CE">
              <w:rPr>
                <w:sz w:val="22"/>
                <w:szCs w:val="22"/>
              </w:rPr>
              <w:t>PCWTH</w:t>
            </w:r>
            <w:r w:rsidR="00EB66CE" w:rsidRPr="00A71267">
              <w:rPr>
                <w:sz w:val="22"/>
                <w:szCs w:val="22"/>
              </w:rPr>
              <w:t xml:space="preserve"> </w:t>
            </w:r>
            <w:r w:rsidRPr="00A71267">
              <w:rPr>
                <w:sz w:val="22"/>
                <w:szCs w:val="22"/>
              </w:rPr>
              <w:t xml:space="preserve">holds a directory of currently commissioned HEE training and education.  Other training which is currently not commissioned by HEE may also be available.  </w:t>
            </w:r>
          </w:p>
          <w:p w:rsidR="00EF5F53" w:rsidRPr="00A71267" w:rsidRDefault="00EF5F53" w:rsidP="0023126F">
            <w:pPr>
              <w:spacing w:before="120" w:after="120" w:line="276" w:lineRule="auto"/>
              <w:rPr>
                <w:sz w:val="22"/>
                <w:szCs w:val="22"/>
              </w:rPr>
            </w:pPr>
            <w:r w:rsidRPr="00A71267">
              <w:rPr>
                <w:sz w:val="22"/>
                <w:szCs w:val="22"/>
              </w:rPr>
              <w:t>Development work is on-going with the</w:t>
            </w:r>
            <w:r w:rsidR="0023126F">
              <w:rPr>
                <w:sz w:val="22"/>
                <w:szCs w:val="22"/>
              </w:rPr>
              <w:t xml:space="preserve"> PCWTH </w:t>
            </w:r>
            <w:r w:rsidRPr="00A71267">
              <w:rPr>
                <w:sz w:val="22"/>
                <w:szCs w:val="22"/>
              </w:rPr>
              <w:t xml:space="preserve">to build a more comprehensive database of all primary care specific training. </w:t>
            </w:r>
          </w:p>
        </w:tc>
      </w:tr>
      <w:tr w:rsidR="00175BD8" w:rsidTr="00EF5F53">
        <w:trPr>
          <w:trHeight w:val="1138"/>
        </w:trPr>
        <w:tc>
          <w:tcPr>
            <w:tcW w:w="2093" w:type="dxa"/>
            <w:vAlign w:val="center"/>
          </w:tcPr>
          <w:p w:rsidR="00175BD8" w:rsidRDefault="0023126F" w:rsidP="00705D33">
            <w:pPr>
              <w:spacing w:before="120" w:after="120" w:line="276" w:lineRule="auto"/>
              <w:rPr>
                <w:b/>
                <w:color w:val="4F81BD" w:themeColor="accent1"/>
                <w:sz w:val="22"/>
              </w:rPr>
            </w:pPr>
            <w:r>
              <w:rPr>
                <w:b/>
                <w:color w:val="4F81BD" w:themeColor="accent1"/>
                <w:sz w:val="22"/>
              </w:rPr>
              <w:t>I</w:t>
            </w:r>
            <w:r w:rsidR="00175BD8">
              <w:rPr>
                <w:b/>
                <w:color w:val="4F81BD" w:themeColor="accent1"/>
                <w:sz w:val="22"/>
              </w:rPr>
              <w:t>f there’s no standard offer, what will we get?</w:t>
            </w:r>
          </w:p>
        </w:tc>
        <w:tc>
          <w:tcPr>
            <w:tcW w:w="7149" w:type="dxa"/>
          </w:tcPr>
          <w:p w:rsidR="00175BD8" w:rsidRPr="00A71267" w:rsidRDefault="00175BD8" w:rsidP="008D23A8">
            <w:pPr>
              <w:spacing w:before="120" w:after="120" w:line="276" w:lineRule="auto"/>
              <w:rPr>
                <w:sz w:val="22"/>
                <w:szCs w:val="22"/>
              </w:rPr>
            </w:pPr>
            <w:r w:rsidRPr="00A71267">
              <w:rPr>
                <w:sz w:val="22"/>
                <w:szCs w:val="22"/>
              </w:rPr>
              <w:t>The GPN Ready scheme has not specified where and in which order skills and study have to be undertaken, other than there is a clear expectation that an NMC approved teaching and assessing qualification is planned in year two. This means that an individual practice has flexibility and options as to how to create a bespoke programme of support for their own nurse.  Some study options will be courses that are already commissioned by HEE; some may be outside of commissioning, and practices will need to choose where and when makes the best option for them when using the bursary that they have received.</w:t>
            </w:r>
          </w:p>
          <w:p w:rsidR="00175BD8" w:rsidRPr="00A71267" w:rsidRDefault="00175BD8" w:rsidP="008D23A8">
            <w:pPr>
              <w:spacing w:before="120" w:after="120" w:line="276" w:lineRule="auto"/>
              <w:rPr>
                <w:sz w:val="22"/>
                <w:szCs w:val="22"/>
              </w:rPr>
            </w:pPr>
            <w:r w:rsidRPr="00A71267">
              <w:rPr>
                <w:sz w:val="22"/>
                <w:szCs w:val="22"/>
              </w:rPr>
              <w:t>The Universities of Sheffield, Bradford and York University all have established comprehensive programmes of study that are particularly aimed at the general practice workforce. Several key skills are catered for here.  However, there are other providers, (both University and private) that offer a wide range of education including post-graduate options such as the Primary Care Training Centre and Rotherham Respiratory.  All of these education providers offer elements which you may wish to access.</w:t>
            </w:r>
          </w:p>
          <w:p w:rsidR="00175BD8" w:rsidRPr="00A71267" w:rsidRDefault="00175BD8" w:rsidP="003C5315">
            <w:pPr>
              <w:spacing w:before="120" w:after="120" w:line="276" w:lineRule="auto"/>
              <w:rPr>
                <w:sz w:val="22"/>
                <w:szCs w:val="22"/>
              </w:rPr>
            </w:pPr>
            <w:r w:rsidRPr="00A71267">
              <w:rPr>
                <w:sz w:val="22"/>
                <w:szCs w:val="22"/>
              </w:rPr>
              <w:t>By taking part in this scheme and the choices you make as a practice will help define what potential future GPN educational offer maybe.  The collective knowledge gained by all the hubs across Yorkshire and the Humber from your educational requirements, will inform the future priority setting for education within any available resources.</w:t>
            </w:r>
          </w:p>
          <w:p w:rsidR="00175BD8" w:rsidRPr="00A71267" w:rsidRDefault="00175BD8" w:rsidP="003C5315">
            <w:pPr>
              <w:spacing w:before="120" w:after="120" w:line="276" w:lineRule="auto"/>
              <w:rPr>
                <w:sz w:val="22"/>
                <w:szCs w:val="22"/>
              </w:rPr>
            </w:pPr>
            <w:r w:rsidRPr="00A71267">
              <w:rPr>
                <w:sz w:val="22"/>
                <w:szCs w:val="22"/>
              </w:rPr>
              <w:t xml:space="preserve">Your </w:t>
            </w:r>
            <w:r w:rsidR="00EB66CE">
              <w:rPr>
                <w:sz w:val="22"/>
                <w:szCs w:val="22"/>
              </w:rPr>
              <w:t>PCWTH</w:t>
            </w:r>
            <w:r w:rsidR="00EB66CE" w:rsidRPr="00A71267">
              <w:rPr>
                <w:sz w:val="22"/>
                <w:szCs w:val="22"/>
              </w:rPr>
              <w:t xml:space="preserve"> </w:t>
            </w:r>
            <w:r w:rsidRPr="00A71267">
              <w:rPr>
                <w:sz w:val="22"/>
                <w:szCs w:val="22"/>
              </w:rPr>
              <w:t xml:space="preserve">will be able to let you know what is currently available and what you might need the </w:t>
            </w:r>
            <w:r w:rsidR="00EB66CE">
              <w:rPr>
                <w:sz w:val="22"/>
                <w:szCs w:val="22"/>
              </w:rPr>
              <w:t>PCWTH</w:t>
            </w:r>
            <w:r w:rsidR="00EB66CE" w:rsidRPr="00A71267">
              <w:rPr>
                <w:sz w:val="22"/>
                <w:szCs w:val="22"/>
              </w:rPr>
              <w:t xml:space="preserve"> </w:t>
            </w:r>
            <w:r w:rsidRPr="00A71267">
              <w:rPr>
                <w:sz w:val="22"/>
                <w:szCs w:val="22"/>
              </w:rPr>
              <w:t>support in accessing.</w:t>
            </w:r>
          </w:p>
        </w:tc>
      </w:tr>
    </w:tbl>
    <w:p w:rsidR="00EF5F53" w:rsidRDefault="00EF5F5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EF5F53" w:rsidTr="00310EEB">
        <w:trPr>
          <w:trHeight w:val="287"/>
        </w:trPr>
        <w:tc>
          <w:tcPr>
            <w:tcW w:w="2093" w:type="dxa"/>
          </w:tcPr>
          <w:p w:rsidR="00EF5F53" w:rsidRDefault="00EF5F53" w:rsidP="00A8234F">
            <w:pPr>
              <w:spacing w:before="120" w:after="120"/>
              <w:rPr>
                <w:b/>
              </w:rPr>
            </w:pPr>
            <w:r>
              <w:rPr>
                <w:b/>
              </w:rPr>
              <w:lastRenderedPageBreak/>
              <w:t>Question</w:t>
            </w:r>
          </w:p>
        </w:tc>
        <w:tc>
          <w:tcPr>
            <w:tcW w:w="7149" w:type="dxa"/>
          </w:tcPr>
          <w:p w:rsidR="00EF5F53" w:rsidRDefault="00EF5F53" w:rsidP="00A8234F">
            <w:pPr>
              <w:spacing w:before="120" w:after="120"/>
              <w:rPr>
                <w:b/>
              </w:rPr>
            </w:pPr>
            <w:r>
              <w:rPr>
                <w:b/>
              </w:rPr>
              <w:t>Response</w:t>
            </w:r>
          </w:p>
        </w:tc>
      </w:tr>
      <w:tr w:rsidR="00EF5F53" w:rsidTr="00EF5F53">
        <w:trPr>
          <w:trHeight w:val="287"/>
        </w:trPr>
        <w:tc>
          <w:tcPr>
            <w:tcW w:w="2093" w:type="dxa"/>
            <w:vAlign w:val="center"/>
          </w:tcPr>
          <w:p w:rsidR="00EF5F53" w:rsidRPr="004379A1" w:rsidRDefault="00EF5F53" w:rsidP="00705D33">
            <w:pPr>
              <w:spacing w:before="120" w:after="120" w:line="276" w:lineRule="auto"/>
              <w:rPr>
                <w:b/>
                <w:color w:val="4F81BD" w:themeColor="accent1"/>
                <w:sz w:val="22"/>
              </w:rPr>
            </w:pPr>
            <w:r>
              <w:rPr>
                <w:b/>
                <w:color w:val="4F81BD" w:themeColor="accent1"/>
                <w:sz w:val="22"/>
              </w:rPr>
              <w:t xml:space="preserve">So I am now unclear about what the role of the </w:t>
            </w:r>
            <w:r w:rsidR="00EB66CE" w:rsidRPr="00EB66CE">
              <w:rPr>
                <w:b/>
                <w:color w:val="548DD4" w:themeColor="text2" w:themeTint="99"/>
                <w:sz w:val="22"/>
                <w:szCs w:val="22"/>
              </w:rPr>
              <w:t>PCWTH</w:t>
            </w:r>
            <w:r w:rsidR="00EB66CE">
              <w:rPr>
                <w:b/>
                <w:color w:val="4F81BD" w:themeColor="accent1"/>
                <w:sz w:val="22"/>
              </w:rPr>
              <w:t xml:space="preserve"> </w:t>
            </w:r>
            <w:r>
              <w:rPr>
                <w:b/>
                <w:color w:val="4F81BD" w:themeColor="accent1"/>
                <w:sz w:val="22"/>
              </w:rPr>
              <w:t>is in terms of education…</w:t>
            </w:r>
          </w:p>
        </w:tc>
        <w:tc>
          <w:tcPr>
            <w:tcW w:w="7149" w:type="dxa"/>
          </w:tcPr>
          <w:p w:rsidR="00EF5F53" w:rsidRDefault="00EF5F53" w:rsidP="003C5315">
            <w:pPr>
              <w:spacing w:before="120" w:after="120" w:line="276" w:lineRule="auto"/>
              <w:rPr>
                <w:sz w:val="22"/>
              </w:rPr>
            </w:pPr>
            <w:r w:rsidRPr="003C5315">
              <w:rPr>
                <w:sz w:val="22"/>
              </w:rPr>
              <w:t>Separate to this scheme</w:t>
            </w:r>
            <w:r>
              <w:rPr>
                <w:sz w:val="22"/>
              </w:rPr>
              <w:t xml:space="preserve">, the </w:t>
            </w:r>
            <w:r w:rsidR="00EB66CE">
              <w:rPr>
                <w:sz w:val="22"/>
                <w:szCs w:val="22"/>
              </w:rPr>
              <w:t>PCWTH</w:t>
            </w:r>
            <w:r w:rsidR="00EB66CE">
              <w:rPr>
                <w:sz w:val="22"/>
              </w:rPr>
              <w:t xml:space="preserve"> </w:t>
            </w:r>
            <w:r>
              <w:rPr>
                <w:sz w:val="22"/>
              </w:rPr>
              <w:t xml:space="preserve">are involved in a Task and Finish group which is looking at the potential educational elements required for a GPN in their initial career in primary care.  </w:t>
            </w:r>
          </w:p>
          <w:p w:rsidR="00EF5F53" w:rsidRDefault="00EF5F53" w:rsidP="0023126F">
            <w:pPr>
              <w:spacing w:before="120" w:after="120" w:line="276" w:lineRule="auto"/>
              <w:rPr>
                <w:b/>
              </w:rPr>
            </w:pPr>
            <w:r>
              <w:rPr>
                <w:sz w:val="22"/>
              </w:rPr>
              <w:t xml:space="preserve">As part of this scheme the </w:t>
            </w:r>
            <w:r w:rsidR="00EB66CE">
              <w:rPr>
                <w:sz w:val="22"/>
                <w:szCs w:val="22"/>
              </w:rPr>
              <w:t>PCWTH</w:t>
            </w:r>
            <w:r w:rsidR="00EB66CE">
              <w:rPr>
                <w:sz w:val="22"/>
              </w:rPr>
              <w:t xml:space="preserve"> </w:t>
            </w:r>
            <w:r>
              <w:rPr>
                <w:sz w:val="22"/>
              </w:rPr>
              <w:t xml:space="preserve">will collate your educational plans for your new GPN.  They won’t just be holding copies of your plans but everyone who is successfully achieved a place on the scheme.  This will enable them to understand as an area what the GPN needs are.  Adding all the </w:t>
            </w:r>
            <w:r w:rsidR="00EB66CE">
              <w:rPr>
                <w:sz w:val="22"/>
                <w:szCs w:val="22"/>
              </w:rPr>
              <w:t>PCWTH</w:t>
            </w:r>
            <w:r>
              <w:rPr>
                <w:sz w:val="22"/>
              </w:rPr>
              <w:t xml:space="preserve"> areas together will give us an even better understanding.  There may be some education requirements that practices require that do not currently exist or do not exist in an accessible format.  With up to £</w:t>
            </w:r>
            <w:r w:rsidR="00C93E7B">
              <w:rPr>
                <w:sz w:val="22"/>
              </w:rPr>
              <w:t>5</w:t>
            </w:r>
            <w:r>
              <w:rPr>
                <w:sz w:val="22"/>
              </w:rPr>
              <w:t xml:space="preserve">k per new GPN Ready scheme individual </w:t>
            </w:r>
            <w:r w:rsidR="00EB66CE">
              <w:rPr>
                <w:sz w:val="22"/>
              </w:rPr>
              <w:t>a</w:t>
            </w:r>
            <w:r>
              <w:rPr>
                <w:sz w:val="22"/>
              </w:rPr>
              <w:t xml:space="preserve"> </w:t>
            </w:r>
            <w:r w:rsidR="00EB66CE">
              <w:rPr>
                <w:sz w:val="22"/>
                <w:szCs w:val="22"/>
              </w:rPr>
              <w:t>PCWTH</w:t>
            </w:r>
            <w:r w:rsidR="00EB66CE">
              <w:rPr>
                <w:sz w:val="22"/>
              </w:rPr>
              <w:t xml:space="preserve"> </w:t>
            </w:r>
            <w:r>
              <w:rPr>
                <w:sz w:val="22"/>
              </w:rPr>
              <w:t>(or two or three) may decide with your agreement to commission a course on your behalf if it meets the majority of the needs of the practices.  This may not happen in the majority of cases as existing education will be accessed but it gives the potential for topics to be explored in this way.</w:t>
            </w:r>
          </w:p>
        </w:tc>
      </w:tr>
      <w:tr w:rsidR="00F1146C" w:rsidTr="00EF5F53">
        <w:tc>
          <w:tcPr>
            <w:tcW w:w="2093" w:type="dxa"/>
            <w:vAlign w:val="center"/>
          </w:tcPr>
          <w:p w:rsidR="00F1146C" w:rsidRPr="004379A1" w:rsidRDefault="00F1146C" w:rsidP="00175BD8">
            <w:pPr>
              <w:spacing w:before="120" w:after="120" w:line="276" w:lineRule="auto"/>
              <w:rPr>
                <w:b/>
                <w:color w:val="4F81BD" w:themeColor="accent1"/>
                <w:sz w:val="22"/>
              </w:rPr>
            </w:pPr>
            <w:r>
              <w:rPr>
                <w:b/>
                <w:color w:val="4F81BD" w:themeColor="accent1"/>
                <w:sz w:val="22"/>
              </w:rPr>
              <w:t>So what can I use the bursary on education wise</w:t>
            </w:r>
            <w:r w:rsidRPr="004379A1">
              <w:rPr>
                <w:b/>
                <w:color w:val="4F81BD" w:themeColor="accent1"/>
                <w:sz w:val="22"/>
              </w:rPr>
              <w:t>?</w:t>
            </w:r>
          </w:p>
        </w:tc>
        <w:tc>
          <w:tcPr>
            <w:tcW w:w="7149" w:type="dxa"/>
            <w:vAlign w:val="center"/>
          </w:tcPr>
          <w:p w:rsidR="00F1146C" w:rsidRDefault="00F1146C" w:rsidP="00175BD8">
            <w:pPr>
              <w:spacing w:before="120" w:after="120" w:line="276" w:lineRule="auto"/>
              <w:rPr>
                <w:b/>
              </w:rPr>
            </w:pPr>
            <w:r w:rsidRPr="00C841A6">
              <w:rPr>
                <w:sz w:val="22"/>
              </w:rPr>
              <w:t xml:space="preserve">Ideally you will prioritise what training you need most within your practice.  In the first instance the initial training is likely to </w:t>
            </w:r>
            <w:r w:rsidRPr="00C841A6">
              <w:rPr>
                <w:sz w:val="22"/>
                <w:szCs w:val="22"/>
              </w:rPr>
              <w:t>be based on the recommendations</w:t>
            </w:r>
            <w:r>
              <w:rPr>
                <w:sz w:val="22"/>
                <w:szCs w:val="22"/>
              </w:rPr>
              <w:t xml:space="preserve"> which the </w:t>
            </w:r>
            <w:r w:rsidR="00EB66CE">
              <w:rPr>
                <w:sz w:val="22"/>
                <w:szCs w:val="22"/>
              </w:rPr>
              <w:t xml:space="preserve">PCWTH </w:t>
            </w:r>
            <w:r>
              <w:rPr>
                <w:sz w:val="22"/>
                <w:szCs w:val="22"/>
              </w:rPr>
              <w:t>will be able to advise you on</w:t>
            </w:r>
            <w:r w:rsidRPr="00175BD8">
              <w:rPr>
                <w:sz w:val="22"/>
              </w:rPr>
              <w:t>.</w:t>
            </w:r>
          </w:p>
        </w:tc>
      </w:tr>
      <w:tr w:rsidR="00F1146C" w:rsidTr="00EF5F53">
        <w:tc>
          <w:tcPr>
            <w:tcW w:w="2093" w:type="dxa"/>
            <w:vAlign w:val="center"/>
          </w:tcPr>
          <w:p w:rsidR="00F1146C" w:rsidRPr="004379A1" w:rsidRDefault="00F1146C" w:rsidP="00175BD8">
            <w:pPr>
              <w:spacing w:before="120" w:after="120" w:line="276" w:lineRule="auto"/>
              <w:rPr>
                <w:b/>
                <w:color w:val="4F81BD" w:themeColor="accent1"/>
                <w:sz w:val="22"/>
              </w:rPr>
            </w:pPr>
            <w:r w:rsidRPr="004379A1">
              <w:rPr>
                <w:b/>
                <w:color w:val="4F81BD" w:themeColor="accent1"/>
                <w:sz w:val="22"/>
              </w:rPr>
              <w:t>Is this scheme the same one as was offered last year?</w:t>
            </w:r>
          </w:p>
        </w:tc>
        <w:tc>
          <w:tcPr>
            <w:tcW w:w="7149" w:type="dxa"/>
          </w:tcPr>
          <w:p w:rsidR="00F1146C" w:rsidRDefault="00F1146C" w:rsidP="00070A61">
            <w:pPr>
              <w:spacing w:before="120" w:after="120" w:line="276" w:lineRule="auto"/>
              <w:rPr>
                <w:sz w:val="22"/>
              </w:rPr>
            </w:pPr>
            <w:r>
              <w:rPr>
                <w:sz w:val="22"/>
              </w:rPr>
              <w:t>The scheme is slightly different from last year and the changes have been made as a result of lessons learned and the increasing scrutiny in a tough financial settlement scenario for HEE.  Changes include;</w:t>
            </w:r>
          </w:p>
          <w:p w:rsidR="00F1146C" w:rsidRDefault="00F1146C" w:rsidP="00175BD8">
            <w:pPr>
              <w:pStyle w:val="ListParagraph"/>
              <w:numPr>
                <w:ilvl w:val="0"/>
                <w:numId w:val="29"/>
              </w:numPr>
              <w:spacing w:before="120" w:after="120" w:line="276" w:lineRule="auto"/>
              <w:rPr>
                <w:sz w:val="22"/>
              </w:rPr>
            </w:pPr>
            <w:r>
              <w:rPr>
                <w:sz w:val="22"/>
              </w:rPr>
              <w:t>Simpler application form and rewritten information pack</w:t>
            </w:r>
          </w:p>
          <w:p w:rsidR="00F1146C" w:rsidRDefault="00F1146C" w:rsidP="00175BD8">
            <w:pPr>
              <w:pStyle w:val="ListParagraph"/>
              <w:numPr>
                <w:ilvl w:val="0"/>
                <w:numId w:val="29"/>
              </w:numPr>
              <w:spacing w:before="120" w:after="120" w:line="276" w:lineRule="auto"/>
              <w:rPr>
                <w:sz w:val="22"/>
              </w:rPr>
            </w:pPr>
            <w:r>
              <w:rPr>
                <w:sz w:val="22"/>
              </w:rPr>
              <w:t>Increased clarity as to what bursary funding is available and what it can and cannot be used for</w:t>
            </w:r>
          </w:p>
          <w:p w:rsidR="00F1146C" w:rsidRPr="00931EAC" w:rsidRDefault="00F1146C" w:rsidP="00070A61">
            <w:pPr>
              <w:pStyle w:val="ListParagraph"/>
              <w:numPr>
                <w:ilvl w:val="0"/>
                <w:numId w:val="29"/>
              </w:numPr>
              <w:spacing w:before="120" w:after="120" w:line="276" w:lineRule="auto"/>
              <w:rPr>
                <w:sz w:val="22"/>
              </w:rPr>
            </w:pPr>
            <w:r>
              <w:rPr>
                <w:sz w:val="22"/>
              </w:rPr>
              <w:t>Amendment of when bursary payments are triggered</w:t>
            </w:r>
          </w:p>
        </w:tc>
      </w:tr>
      <w:tr w:rsidR="00F1146C" w:rsidTr="00EF5F53">
        <w:tc>
          <w:tcPr>
            <w:tcW w:w="2093" w:type="dxa"/>
            <w:vAlign w:val="center"/>
          </w:tcPr>
          <w:p w:rsidR="00F1146C" w:rsidRPr="00D75A90" w:rsidRDefault="00F1146C" w:rsidP="00381939">
            <w:pPr>
              <w:spacing w:before="120" w:after="120" w:line="276" w:lineRule="auto"/>
              <w:rPr>
                <w:b/>
                <w:color w:val="4F81BD" w:themeColor="accent1"/>
              </w:rPr>
            </w:pPr>
            <w:r w:rsidRPr="00D75A90">
              <w:rPr>
                <w:b/>
                <w:color w:val="4F81BD" w:themeColor="accent1"/>
                <w:sz w:val="22"/>
              </w:rPr>
              <w:t xml:space="preserve">Is the </w:t>
            </w:r>
            <w:r w:rsidR="00381939">
              <w:rPr>
                <w:b/>
                <w:color w:val="4F81BD" w:themeColor="accent1"/>
                <w:sz w:val="22"/>
              </w:rPr>
              <w:t>PCWTH</w:t>
            </w:r>
            <w:r w:rsidRPr="00D75A90">
              <w:rPr>
                <w:b/>
                <w:color w:val="4F81BD" w:themeColor="accent1"/>
                <w:sz w:val="22"/>
              </w:rPr>
              <w:t xml:space="preserve"> receiving any money as part of the scheme?</w:t>
            </w:r>
          </w:p>
        </w:tc>
        <w:tc>
          <w:tcPr>
            <w:tcW w:w="7149" w:type="dxa"/>
            <w:vAlign w:val="center"/>
          </w:tcPr>
          <w:p w:rsidR="00F1146C" w:rsidRPr="00D75A90" w:rsidRDefault="00F1146C" w:rsidP="0023126F">
            <w:pPr>
              <w:spacing w:before="120" w:after="120" w:line="276" w:lineRule="auto"/>
            </w:pPr>
            <w:r w:rsidRPr="00D75A90">
              <w:rPr>
                <w:sz w:val="22"/>
              </w:rPr>
              <w:t xml:space="preserve">We have put aside a single payment for each GPN Ready scheme applicant, to be paid to </w:t>
            </w:r>
            <w:r w:rsidR="0023126F">
              <w:rPr>
                <w:sz w:val="22"/>
              </w:rPr>
              <w:t>the PCWTH</w:t>
            </w:r>
            <w:r w:rsidRPr="00D75A90">
              <w:rPr>
                <w:sz w:val="22"/>
              </w:rPr>
              <w:t xml:space="preserve">. This will cover the cost of both years of offering advice to the practices and quality assurance monitoring to us, plus the financial arrangement of disseminating the </w:t>
            </w:r>
            <w:r>
              <w:rPr>
                <w:sz w:val="22"/>
              </w:rPr>
              <w:t xml:space="preserve">bursary </w:t>
            </w:r>
            <w:r w:rsidRPr="00D75A90">
              <w:rPr>
                <w:sz w:val="22"/>
              </w:rPr>
              <w:t>funding to the practices themselves.</w:t>
            </w:r>
          </w:p>
        </w:tc>
      </w:tr>
      <w:tr w:rsidR="00F1146C" w:rsidTr="00EF5F53">
        <w:tc>
          <w:tcPr>
            <w:tcW w:w="2093" w:type="dxa"/>
          </w:tcPr>
          <w:p w:rsidR="00F1146C" w:rsidRPr="004379A1" w:rsidRDefault="00F1146C" w:rsidP="00070A61">
            <w:pPr>
              <w:spacing w:before="120" w:after="120" w:line="276" w:lineRule="auto"/>
              <w:rPr>
                <w:b/>
                <w:color w:val="4F81BD" w:themeColor="accent1"/>
                <w:sz w:val="22"/>
              </w:rPr>
            </w:pPr>
            <w:r w:rsidRPr="004379A1">
              <w:rPr>
                <w:b/>
                <w:color w:val="4F81BD" w:themeColor="accent1"/>
                <w:sz w:val="22"/>
              </w:rPr>
              <w:t>What is the matched funding model I have heard about?</w:t>
            </w:r>
          </w:p>
        </w:tc>
        <w:tc>
          <w:tcPr>
            <w:tcW w:w="7149" w:type="dxa"/>
          </w:tcPr>
          <w:p w:rsidR="00F1146C" w:rsidRPr="00070A61" w:rsidRDefault="00F1146C" w:rsidP="0023126F">
            <w:pPr>
              <w:spacing w:before="120" w:after="120" w:line="276" w:lineRule="auto"/>
              <w:rPr>
                <w:sz w:val="22"/>
              </w:rPr>
            </w:pPr>
            <w:r>
              <w:rPr>
                <w:sz w:val="22"/>
              </w:rPr>
              <w:t>HEE has written to CCGs advising of the scheme and inviting them to also contribute on a matched funding basis.  This does not affect how the scheme will run but may increase capacity to unable more GPN Ready places to be funded</w:t>
            </w:r>
            <w:r w:rsidR="0023126F">
              <w:rPr>
                <w:sz w:val="22"/>
              </w:rPr>
              <w:t>.</w:t>
            </w:r>
          </w:p>
        </w:tc>
      </w:tr>
    </w:tbl>
    <w:p w:rsidR="0009350A" w:rsidRDefault="0009350A">
      <w:pPr>
        <w:rPr>
          <w:b/>
        </w:rPr>
      </w:pPr>
    </w:p>
    <w:p w:rsidR="00B6154B" w:rsidRDefault="00B6154B">
      <w:pPr>
        <w:spacing w:after="200" w:line="276" w:lineRule="auto"/>
        <w:rPr>
          <w:b/>
        </w:rPr>
      </w:pPr>
      <w:r>
        <w:rPr>
          <w:b/>
        </w:rPr>
        <w:br w:type="page"/>
      </w:r>
    </w:p>
    <w:p w:rsidR="00931EAC" w:rsidRPr="004A4B75" w:rsidRDefault="00931EAC" w:rsidP="004A4B75">
      <w:pPr>
        <w:pStyle w:val="Heading1"/>
        <w:keepNext w:val="0"/>
        <w:keepLines w:val="0"/>
        <w:numPr>
          <w:ilvl w:val="0"/>
          <w:numId w:val="0"/>
        </w:numPr>
        <w:spacing w:before="0"/>
        <w:ind w:left="432" w:hanging="432"/>
        <w:rPr>
          <w:rFonts w:ascii="Arial" w:eastAsia="Times New Roman" w:hAnsi="Arial" w:cs="Arial"/>
          <w:bCs/>
          <w:color w:val="0072C6"/>
          <w:kern w:val="32"/>
          <w:sz w:val="32"/>
          <w:szCs w:val="32"/>
        </w:rPr>
      </w:pPr>
      <w:bookmarkStart w:id="9" w:name="_Toc481760993"/>
      <w:r w:rsidRPr="004A4B75">
        <w:rPr>
          <w:rFonts w:ascii="Arial" w:eastAsia="Times New Roman" w:hAnsi="Arial" w:cs="Arial"/>
          <w:bCs/>
          <w:color w:val="0072C6"/>
          <w:kern w:val="32"/>
          <w:sz w:val="32"/>
          <w:szCs w:val="32"/>
        </w:rPr>
        <w:lastRenderedPageBreak/>
        <w:t>Appendix 1: How the scheme will be assessed</w:t>
      </w:r>
      <w:bookmarkEnd w:id="9"/>
    </w:p>
    <w:p w:rsidR="00931EAC" w:rsidRDefault="00931EAC" w:rsidP="00931EAC">
      <w:pPr>
        <w:spacing w:after="200" w:line="276" w:lineRule="auto"/>
        <w:rPr>
          <w:b/>
          <w:sz w:val="22"/>
          <w:szCs w:val="22"/>
        </w:rPr>
      </w:pPr>
    </w:p>
    <w:p w:rsidR="00931EAC" w:rsidRDefault="00931EAC" w:rsidP="00931EAC">
      <w:pPr>
        <w:spacing w:after="200" w:line="276" w:lineRule="auto"/>
        <w:rPr>
          <w:b/>
          <w:sz w:val="22"/>
          <w:szCs w:val="22"/>
        </w:rPr>
      </w:pPr>
      <w:r>
        <w:rPr>
          <w:b/>
          <w:sz w:val="22"/>
          <w:szCs w:val="22"/>
        </w:rPr>
        <w:t xml:space="preserve">Overall </w:t>
      </w:r>
    </w:p>
    <w:p w:rsidR="00931EAC" w:rsidRPr="00931EAC" w:rsidRDefault="00931EAC" w:rsidP="00931EAC">
      <w:pPr>
        <w:pStyle w:val="ListParagraph"/>
        <w:numPr>
          <w:ilvl w:val="0"/>
          <w:numId w:val="30"/>
        </w:numPr>
        <w:spacing w:after="200" w:line="360" w:lineRule="auto"/>
        <w:rPr>
          <w:b/>
        </w:rPr>
      </w:pPr>
      <w:r w:rsidRPr="00931EAC">
        <w:rPr>
          <w:sz w:val="22"/>
          <w:szCs w:val="22"/>
        </w:rPr>
        <w:t>Experiential feedback from the GPNs and preceptorship supervisors</w:t>
      </w:r>
    </w:p>
    <w:p w:rsidR="00931EAC" w:rsidRPr="00931EAC" w:rsidRDefault="00EB66CE" w:rsidP="00931EAC">
      <w:pPr>
        <w:pStyle w:val="ListParagraph"/>
        <w:numPr>
          <w:ilvl w:val="0"/>
          <w:numId w:val="30"/>
        </w:numPr>
        <w:spacing w:after="200" w:line="360" w:lineRule="auto"/>
        <w:rPr>
          <w:b/>
        </w:rPr>
      </w:pPr>
      <w:r>
        <w:rPr>
          <w:sz w:val="22"/>
          <w:szCs w:val="22"/>
        </w:rPr>
        <w:t>PCWTH</w:t>
      </w:r>
      <w:r w:rsidRPr="00931EAC">
        <w:rPr>
          <w:sz w:val="22"/>
          <w:szCs w:val="22"/>
        </w:rPr>
        <w:t xml:space="preserve"> </w:t>
      </w:r>
      <w:r w:rsidR="00931EAC" w:rsidRPr="00931EAC">
        <w:rPr>
          <w:sz w:val="22"/>
          <w:szCs w:val="22"/>
        </w:rPr>
        <w:t xml:space="preserve">understanding of the new GPN educational needs </w:t>
      </w:r>
    </w:p>
    <w:p w:rsidR="00931EAC" w:rsidRPr="00931EAC" w:rsidRDefault="00F1146C" w:rsidP="00931EAC">
      <w:pPr>
        <w:pStyle w:val="ListParagraph"/>
        <w:numPr>
          <w:ilvl w:val="0"/>
          <w:numId w:val="30"/>
        </w:numPr>
        <w:spacing w:after="200" w:line="360" w:lineRule="auto"/>
        <w:rPr>
          <w:b/>
        </w:rPr>
      </w:pPr>
      <w:r>
        <w:rPr>
          <w:sz w:val="22"/>
          <w:szCs w:val="22"/>
        </w:rPr>
        <w:t>N</w:t>
      </w:r>
      <w:r w:rsidR="00931EAC">
        <w:rPr>
          <w:sz w:val="22"/>
          <w:szCs w:val="22"/>
        </w:rPr>
        <w:t>umbers of new GPN nurses working in primary care pre and post scheme</w:t>
      </w:r>
      <w:r>
        <w:rPr>
          <w:sz w:val="22"/>
          <w:szCs w:val="22"/>
        </w:rPr>
        <w:t xml:space="preserve"> (projected increase)</w:t>
      </w:r>
    </w:p>
    <w:p w:rsidR="00931EAC" w:rsidRPr="00931EAC" w:rsidRDefault="00931EAC" w:rsidP="00931EAC">
      <w:pPr>
        <w:pStyle w:val="ListParagraph"/>
        <w:numPr>
          <w:ilvl w:val="0"/>
          <w:numId w:val="30"/>
        </w:numPr>
        <w:spacing w:after="200" w:line="360" w:lineRule="auto"/>
        <w:rPr>
          <w:b/>
        </w:rPr>
      </w:pPr>
      <w:r w:rsidRPr="00931EAC">
        <w:rPr>
          <w:sz w:val="22"/>
          <w:szCs w:val="22"/>
        </w:rPr>
        <w:t>No. of new GPN mentors as a direct result of the scheme</w:t>
      </w:r>
      <w:r>
        <w:rPr>
          <w:sz w:val="22"/>
          <w:szCs w:val="22"/>
        </w:rPr>
        <w:t xml:space="preserve"> (pre and post comparison)</w:t>
      </w:r>
    </w:p>
    <w:p w:rsidR="00931EAC" w:rsidRDefault="00931EAC" w:rsidP="00931EAC">
      <w:pPr>
        <w:spacing w:after="200" w:line="276" w:lineRule="auto"/>
        <w:rPr>
          <w:b/>
          <w:sz w:val="22"/>
          <w:szCs w:val="22"/>
        </w:rPr>
      </w:pPr>
      <w:r>
        <w:rPr>
          <w:b/>
          <w:sz w:val="22"/>
          <w:szCs w:val="22"/>
        </w:rPr>
        <w:t>Other data collection</w:t>
      </w:r>
    </w:p>
    <w:p w:rsidR="00931EAC" w:rsidRDefault="00931EAC" w:rsidP="00931EAC">
      <w:pPr>
        <w:pStyle w:val="ListParagraph"/>
        <w:numPr>
          <w:ilvl w:val="0"/>
          <w:numId w:val="30"/>
        </w:numPr>
        <w:spacing w:after="200" w:line="360" w:lineRule="auto"/>
        <w:rPr>
          <w:sz w:val="22"/>
          <w:szCs w:val="22"/>
        </w:rPr>
      </w:pPr>
      <w:r>
        <w:rPr>
          <w:sz w:val="22"/>
          <w:szCs w:val="22"/>
        </w:rPr>
        <w:t>No. of practices interested in the scheme versus those who are successful</w:t>
      </w:r>
    </w:p>
    <w:p w:rsidR="00F1146C" w:rsidRDefault="00F1146C" w:rsidP="00F1146C">
      <w:pPr>
        <w:pStyle w:val="ListParagraph"/>
        <w:numPr>
          <w:ilvl w:val="0"/>
          <w:numId w:val="30"/>
        </w:numPr>
        <w:spacing w:before="120" w:after="120" w:line="360" w:lineRule="auto"/>
        <w:rPr>
          <w:sz w:val="22"/>
          <w:szCs w:val="22"/>
        </w:rPr>
      </w:pPr>
      <w:r>
        <w:rPr>
          <w:sz w:val="22"/>
          <w:szCs w:val="22"/>
        </w:rPr>
        <w:t>Appointee PIN numbers</w:t>
      </w:r>
    </w:p>
    <w:p w:rsidR="00F1146C" w:rsidRDefault="00F1146C" w:rsidP="00F1146C">
      <w:pPr>
        <w:pStyle w:val="ListParagraph"/>
        <w:numPr>
          <w:ilvl w:val="0"/>
          <w:numId w:val="30"/>
        </w:numPr>
        <w:spacing w:before="120" w:after="120" w:line="360" w:lineRule="auto"/>
        <w:rPr>
          <w:sz w:val="22"/>
          <w:szCs w:val="22"/>
        </w:rPr>
      </w:pPr>
      <w:r>
        <w:rPr>
          <w:sz w:val="22"/>
          <w:szCs w:val="22"/>
        </w:rPr>
        <w:t>Copies of educational plan</w:t>
      </w:r>
    </w:p>
    <w:p w:rsidR="00931EAC" w:rsidRPr="00F1146C" w:rsidRDefault="00F1146C" w:rsidP="00F1146C">
      <w:pPr>
        <w:pStyle w:val="ListParagraph"/>
        <w:numPr>
          <w:ilvl w:val="0"/>
          <w:numId w:val="30"/>
        </w:numPr>
        <w:spacing w:before="120" w:after="120" w:line="360" w:lineRule="auto"/>
        <w:rPr>
          <w:sz w:val="22"/>
          <w:szCs w:val="22"/>
        </w:rPr>
      </w:pPr>
      <w:r w:rsidRPr="00F1146C">
        <w:rPr>
          <w:sz w:val="22"/>
          <w:szCs w:val="22"/>
        </w:rPr>
        <w:t>Random audit trails of financial support spend by practices in receipt of funding</w:t>
      </w:r>
    </w:p>
    <w:p w:rsidR="00F1146C" w:rsidRDefault="00F1146C">
      <w:pPr>
        <w:spacing w:after="200" w:line="276" w:lineRule="auto"/>
        <w:rPr>
          <w:b/>
        </w:rPr>
      </w:pPr>
    </w:p>
    <w:p w:rsidR="00F1146C" w:rsidRPr="004A4B75" w:rsidRDefault="00F1146C" w:rsidP="004A4B75">
      <w:pPr>
        <w:pStyle w:val="Heading1"/>
        <w:keepNext w:val="0"/>
        <w:keepLines w:val="0"/>
        <w:numPr>
          <w:ilvl w:val="0"/>
          <w:numId w:val="0"/>
        </w:numPr>
        <w:spacing w:before="0"/>
        <w:ind w:left="432" w:hanging="432"/>
        <w:rPr>
          <w:rFonts w:ascii="Arial" w:eastAsia="Times New Roman" w:hAnsi="Arial" w:cs="Arial"/>
          <w:bCs/>
          <w:color w:val="0072C6"/>
          <w:kern w:val="32"/>
          <w:sz w:val="32"/>
          <w:szCs w:val="32"/>
        </w:rPr>
      </w:pPr>
      <w:bookmarkStart w:id="10" w:name="_Toc481760994"/>
      <w:r w:rsidRPr="004A4B75">
        <w:rPr>
          <w:rFonts w:ascii="Arial" w:eastAsia="Times New Roman" w:hAnsi="Arial" w:cs="Arial"/>
          <w:bCs/>
          <w:color w:val="0072C6"/>
          <w:kern w:val="32"/>
          <w:sz w:val="32"/>
          <w:szCs w:val="32"/>
        </w:rPr>
        <w:t xml:space="preserve">Appendix 2: </w:t>
      </w:r>
      <w:r w:rsidR="00EB66CE" w:rsidRPr="00EB66CE">
        <w:rPr>
          <w:rFonts w:ascii="Arial" w:hAnsi="Arial" w:cs="Arial"/>
          <w:color w:val="548DD4" w:themeColor="text2" w:themeTint="99"/>
          <w:sz w:val="32"/>
          <w:szCs w:val="22"/>
        </w:rPr>
        <w:t>PCWTH</w:t>
      </w:r>
      <w:r w:rsidR="00EB66CE" w:rsidRPr="00EB66CE">
        <w:rPr>
          <w:rFonts w:ascii="Arial" w:eastAsia="Times New Roman" w:hAnsi="Arial" w:cs="Arial"/>
          <w:bCs/>
          <w:color w:val="548DD4" w:themeColor="text2" w:themeTint="99"/>
          <w:kern w:val="32"/>
          <w:sz w:val="44"/>
          <w:szCs w:val="32"/>
        </w:rPr>
        <w:t xml:space="preserve"> </w:t>
      </w:r>
      <w:r w:rsidRPr="004A4B75">
        <w:rPr>
          <w:rFonts w:ascii="Arial" w:eastAsia="Times New Roman" w:hAnsi="Arial" w:cs="Arial"/>
          <w:bCs/>
          <w:color w:val="0072C6"/>
          <w:kern w:val="32"/>
          <w:sz w:val="32"/>
          <w:szCs w:val="32"/>
        </w:rPr>
        <w:t>visit checklist</w:t>
      </w:r>
      <w:bookmarkEnd w:id="10"/>
    </w:p>
    <w:p w:rsidR="00F1146C" w:rsidRDefault="00F1146C" w:rsidP="00F1146C">
      <w:pPr>
        <w:rPr>
          <w:b/>
        </w:rPr>
      </w:pPr>
    </w:p>
    <w:p w:rsidR="00F1146C" w:rsidRDefault="00F1146C" w:rsidP="00F1146C">
      <w:pPr>
        <w:spacing w:line="276" w:lineRule="auto"/>
        <w:rPr>
          <w:sz w:val="22"/>
        </w:rPr>
      </w:pPr>
      <w:r w:rsidRPr="00C4717D">
        <w:rPr>
          <w:sz w:val="22"/>
        </w:rPr>
        <w:t xml:space="preserve">The following information gives a practice and </w:t>
      </w:r>
      <w:r w:rsidR="0023126F">
        <w:rPr>
          <w:sz w:val="22"/>
        </w:rPr>
        <w:t>PCWTH</w:t>
      </w:r>
      <w:r w:rsidRPr="00C4717D">
        <w:rPr>
          <w:sz w:val="22"/>
        </w:rPr>
        <w:t xml:space="preserve"> guidance as to what ideally should be discussed during a practice visit</w:t>
      </w:r>
    </w:p>
    <w:p w:rsidR="00F1146C" w:rsidRDefault="00F1146C" w:rsidP="00F1146C">
      <w:pPr>
        <w:spacing w:line="276" w:lineRule="auto"/>
        <w:rPr>
          <w:sz w:val="22"/>
        </w:rPr>
      </w:pPr>
    </w:p>
    <w:tbl>
      <w:tblPr>
        <w:tblStyle w:val="TableGrid"/>
        <w:tblW w:w="0" w:type="auto"/>
        <w:tblLook w:val="04A0" w:firstRow="1" w:lastRow="0" w:firstColumn="1" w:lastColumn="0" w:noHBand="0" w:noVBand="1"/>
      </w:tblPr>
      <w:tblGrid>
        <w:gridCol w:w="1870"/>
        <w:gridCol w:w="6743"/>
        <w:gridCol w:w="629"/>
      </w:tblGrid>
      <w:tr w:rsidR="00F1146C" w:rsidTr="008E3B90">
        <w:tc>
          <w:tcPr>
            <w:tcW w:w="1870" w:type="dxa"/>
          </w:tcPr>
          <w:p w:rsidR="00F1146C" w:rsidRPr="00F271C2" w:rsidRDefault="00F1146C" w:rsidP="008E3B90">
            <w:pPr>
              <w:spacing w:before="120" w:after="120" w:line="276" w:lineRule="auto"/>
              <w:rPr>
                <w:b/>
              </w:rPr>
            </w:pPr>
            <w:r>
              <w:rPr>
                <w:b/>
              </w:rPr>
              <w:t>TOPIC</w:t>
            </w:r>
          </w:p>
        </w:tc>
        <w:tc>
          <w:tcPr>
            <w:tcW w:w="6743" w:type="dxa"/>
          </w:tcPr>
          <w:p w:rsidR="00F1146C" w:rsidRDefault="00F1146C" w:rsidP="008E3B90">
            <w:pPr>
              <w:spacing w:before="120" w:after="120" w:line="276" w:lineRule="auto"/>
              <w:rPr>
                <w:sz w:val="22"/>
              </w:rPr>
            </w:pPr>
            <w:r w:rsidRPr="0092652A">
              <w:rPr>
                <w:b/>
              </w:rPr>
              <w:t>POINTS FOR DISCUSSION</w:t>
            </w:r>
          </w:p>
        </w:tc>
        <w:tc>
          <w:tcPr>
            <w:tcW w:w="629" w:type="dxa"/>
          </w:tcPr>
          <w:p w:rsidR="00F1146C" w:rsidRPr="0092652A" w:rsidRDefault="00F1146C" w:rsidP="008E3B90">
            <w:pPr>
              <w:spacing w:before="120" w:after="120" w:line="276" w:lineRule="auto"/>
              <w:jc w:val="center"/>
              <w:rPr>
                <w:b/>
                <w:sz w:val="22"/>
              </w:rPr>
            </w:pPr>
            <w:r w:rsidRPr="0092652A">
              <w:rPr>
                <w:b/>
                <w:sz w:val="28"/>
              </w:rPr>
              <w:sym w:font="Wingdings" w:char="F0FC"/>
            </w:r>
          </w:p>
        </w:tc>
      </w:tr>
      <w:tr w:rsidR="00F1146C" w:rsidTr="008E3B90">
        <w:tc>
          <w:tcPr>
            <w:tcW w:w="1870" w:type="dxa"/>
            <w:vAlign w:val="center"/>
          </w:tcPr>
          <w:p w:rsidR="00F1146C" w:rsidRPr="00F271C2" w:rsidRDefault="00F1146C" w:rsidP="008E3B90">
            <w:pPr>
              <w:spacing w:before="120" w:after="120" w:line="276" w:lineRule="auto"/>
              <w:jc w:val="center"/>
              <w:rPr>
                <w:b/>
              </w:rPr>
            </w:pPr>
            <w:r>
              <w:rPr>
                <w:b/>
              </w:rPr>
              <w:t>HUB SUPPORT</w:t>
            </w:r>
          </w:p>
        </w:tc>
        <w:tc>
          <w:tcPr>
            <w:tcW w:w="6743" w:type="dxa"/>
          </w:tcPr>
          <w:p w:rsidR="00F1146C" w:rsidRPr="00F271C2" w:rsidRDefault="00F1146C" w:rsidP="008E3B90">
            <w:pPr>
              <w:spacing w:before="120" w:after="120" w:line="276" w:lineRule="auto"/>
              <w:rPr>
                <w:sz w:val="22"/>
              </w:rPr>
            </w:pPr>
            <w:r w:rsidRPr="00F271C2">
              <w:rPr>
                <w:sz w:val="22"/>
              </w:rPr>
              <w:t xml:space="preserve">Explanation of </w:t>
            </w:r>
            <w:r w:rsidR="00EB66CE">
              <w:rPr>
                <w:sz w:val="22"/>
                <w:szCs w:val="22"/>
              </w:rPr>
              <w:t>PCWTH</w:t>
            </w:r>
            <w:r w:rsidR="00EB66CE" w:rsidRPr="00F271C2">
              <w:rPr>
                <w:sz w:val="22"/>
              </w:rPr>
              <w:t xml:space="preserve"> </w:t>
            </w:r>
            <w:r w:rsidRPr="00F271C2">
              <w:rPr>
                <w:sz w:val="22"/>
              </w:rPr>
              <w:t>general role and specific role in terms of GPN Ready including;</w:t>
            </w:r>
          </w:p>
          <w:p w:rsidR="00F1146C" w:rsidRDefault="00F1146C" w:rsidP="008E3B90">
            <w:pPr>
              <w:pStyle w:val="ListParagraph"/>
              <w:numPr>
                <w:ilvl w:val="0"/>
                <w:numId w:val="16"/>
              </w:numPr>
              <w:spacing w:before="120" w:after="120" w:line="276" w:lineRule="auto"/>
              <w:rPr>
                <w:sz w:val="22"/>
              </w:rPr>
            </w:pPr>
            <w:r w:rsidRPr="00C4717D">
              <w:rPr>
                <w:sz w:val="22"/>
              </w:rPr>
              <w:t xml:space="preserve">financial </w:t>
            </w:r>
            <w:r>
              <w:rPr>
                <w:sz w:val="22"/>
              </w:rPr>
              <w:t>management and audit of spend</w:t>
            </w:r>
          </w:p>
          <w:p w:rsidR="00F1146C" w:rsidRDefault="00F1146C" w:rsidP="008E3B90">
            <w:pPr>
              <w:pStyle w:val="ListParagraph"/>
              <w:numPr>
                <w:ilvl w:val="0"/>
                <w:numId w:val="16"/>
              </w:numPr>
              <w:spacing w:before="120" w:after="120" w:line="276" w:lineRule="auto"/>
              <w:rPr>
                <w:sz w:val="22"/>
              </w:rPr>
            </w:pPr>
            <w:r w:rsidRPr="00C4717D">
              <w:rPr>
                <w:sz w:val="22"/>
              </w:rPr>
              <w:t>educational support and advice</w:t>
            </w:r>
          </w:p>
          <w:p w:rsidR="00F1146C" w:rsidRPr="00F271C2" w:rsidRDefault="00F1146C" w:rsidP="008E3B90">
            <w:pPr>
              <w:pStyle w:val="ListParagraph"/>
              <w:numPr>
                <w:ilvl w:val="0"/>
                <w:numId w:val="16"/>
              </w:numPr>
              <w:spacing w:before="120" w:after="120" w:line="276" w:lineRule="auto"/>
              <w:rPr>
                <w:sz w:val="22"/>
              </w:rPr>
            </w:pPr>
            <w:r>
              <w:rPr>
                <w:sz w:val="22"/>
              </w:rPr>
              <w:t>recruitment and selection support e.g. job descriptions</w:t>
            </w:r>
          </w:p>
        </w:tc>
        <w:tc>
          <w:tcPr>
            <w:tcW w:w="629" w:type="dxa"/>
          </w:tcPr>
          <w:p w:rsidR="00F1146C" w:rsidRDefault="00F1146C" w:rsidP="008E3B90">
            <w:pPr>
              <w:spacing w:before="120" w:after="120" w:line="276" w:lineRule="auto"/>
              <w:rPr>
                <w:sz w:val="22"/>
              </w:rPr>
            </w:pPr>
          </w:p>
        </w:tc>
      </w:tr>
      <w:tr w:rsidR="00F1146C" w:rsidTr="008E3B90">
        <w:tc>
          <w:tcPr>
            <w:tcW w:w="1870" w:type="dxa"/>
            <w:vAlign w:val="center"/>
          </w:tcPr>
          <w:p w:rsidR="00F1146C" w:rsidRDefault="00F1146C" w:rsidP="008E3B90">
            <w:pPr>
              <w:spacing w:before="120" w:after="120" w:line="276" w:lineRule="auto"/>
              <w:jc w:val="center"/>
              <w:rPr>
                <w:sz w:val="22"/>
              </w:rPr>
            </w:pPr>
            <w:r w:rsidRPr="00F271C2">
              <w:rPr>
                <w:b/>
              </w:rPr>
              <w:t>ASSESSMENT OF SUITABILITY</w:t>
            </w:r>
          </w:p>
        </w:tc>
        <w:tc>
          <w:tcPr>
            <w:tcW w:w="6743" w:type="dxa"/>
          </w:tcPr>
          <w:p w:rsidR="00F1146C" w:rsidRDefault="00F1146C" w:rsidP="008E3B90">
            <w:pPr>
              <w:spacing w:before="120" w:after="120" w:line="276" w:lineRule="auto"/>
              <w:rPr>
                <w:sz w:val="22"/>
              </w:rPr>
            </w:pPr>
            <w:r w:rsidRPr="00F271C2">
              <w:rPr>
                <w:sz w:val="22"/>
              </w:rPr>
              <w:t>How the practice intends to support a newly qualified/RTP nurse and continue to do so during the course of their employment</w:t>
            </w:r>
          </w:p>
          <w:p w:rsidR="00F1146C" w:rsidRDefault="00F1146C" w:rsidP="008E3B90">
            <w:pPr>
              <w:spacing w:before="120" w:after="120" w:line="276" w:lineRule="auto"/>
              <w:rPr>
                <w:sz w:val="22"/>
              </w:rPr>
            </w:pPr>
            <w:r>
              <w:rPr>
                <w:sz w:val="22"/>
              </w:rPr>
              <w:t>This will include understanding the current numbers of nurses in your practice, their contracted hours and how they are supported and why your practice would be a good place for a new/RTP nurse</w:t>
            </w:r>
          </w:p>
          <w:p w:rsidR="00F1146C" w:rsidRPr="0092652A" w:rsidRDefault="00F1146C" w:rsidP="008E3B90">
            <w:pPr>
              <w:spacing w:before="120" w:after="120" w:line="276" w:lineRule="auto"/>
              <w:rPr>
                <w:i/>
                <w:sz w:val="22"/>
              </w:rPr>
            </w:pPr>
          </w:p>
        </w:tc>
        <w:tc>
          <w:tcPr>
            <w:tcW w:w="629" w:type="dxa"/>
          </w:tcPr>
          <w:p w:rsidR="00F1146C" w:rsidRDefault="00F1146C" w:rsidP="008E3B90">
            <w:pPr>
              <w:spacing w:before="120" w:after="120" w:line="276" w:lineRule="auto"/>
              <w:rPr>
                <w:sz w:val="22"/>
              </w:rPr>
            </w:pPr>
          </w:p>
        </w:tc>
      </w:tr>
      <w:tr w:rsidR="00F1146C" w:rsidTr="008E3B90">
        <w:tc>
          <w:tcPr>
            <w:tcW w:w="1870" w:type="dxa"/>
          </w:tcPr>
          <w:p w:rsidR="00F1146C" w:rsidRPr="0092652A" w:rsidRDefault="00F1146C" w:rsidP="0023126F">
            <w:pPr>
              <w:spacing w:before="120" w:after="120" w:line="276" w:lineRule="auto"/>
              <w:jc w:val="center"/>
              <w:rPr>
                <w:b/>
                <w:sz w:val="22"/>
              </w:rPr>
            </w:pPr>
            <w:r w:rsidRPr="0092652A">
              <w:rPr>
                <w:b/>
                <w:sz w:val="22"/>
              </w:rPr>
              <w:t>STAGE OF RECRUITMENT</w:t>
            </w:r>
          </w:p>
        </w:tc>
        <w:tc>
          <w:tcPr>
            <w:tcW w:w="6743" w:type="dxa"/>
          </w:tcPr>
          <w:p w:rsidR="00F1146C" w:rsidRDefault="00F1146C" w:rsidP="008E3B90">
            <w:pPr>
              <w:spacing w:before="120" w:after="120" w:line="276" w:lineRule="auto"/>
              <w:rPr>
                <w:sz w:val="22"/>
              </w:rPr>
            </w:pPr>
            <w:r>
              <w:rPr>
                <w:sz w:val="22"/>
              </w:rPr>
              <w:t>Discussion around what stage the practice is in recruitment and what support (if any) they require</w:t>
            </w:r>
          </w:p>
        </w:tc>
        <w:tc>
          <w:tcPr>
            <w:tcW w:w="629" w:type="dxa"/>
          </w:tcPr>
          <w:p w:rsidR="00F1146C" w:rsidRDefault="00F1146C" w:rsidP="008E3B90">
            <w:pPr>
              <w:spacing w:before="120" w:after="120" w:line="276" w:lineRule="auto"/>
              <w:rPr>
                <w:sz w:val="22"/>
              </w:rPr>
            </w:pPr>
          </w:p>
        </w:tc>
      </w:tr>
    </w:tbl>
    <w:p w:rsidR="00F1146C" w:rsidRPr="00C4717D" w:rsidRDefault="00F1146C" w:rsidP="00F1146C">
      <w:pPr>
        <w:spacing w:line="276" w:lineRule="auto"/>
        <w:rPr>
          <w:sz w:val="22"/>
        </w:rPr>
      </w:pPr>
    </w:p>
    <w:p w:rsidR="0023126F" w:rsidRDefault="0023126F" w:rsidP="004A4B75">
      <w:pPr>
        <w:pStyle w:val="Heading1"/>
        <w:keepNext w:val="0"/>
        <w:keepLines w:val="0"/>
        <w:numPr>
          <w:ilvl w:val="0"/>
          <w:numId w:val="0"/>
        </w:numPr>
        <w:spacing w:before="0"/>
        <w:ind w:left="432" w:hanging="432"/>
        <w:rPr>
          <w:rFonts w:ascii="Arial" w:eastAsia="Times New Roman" w:hAnsi="Arial" w:cs="Arial"/>
          <w:bCs/>
          <w:color w:val="0072C6"/>
          <w:kern w:val="32"/>
          <w:sz w:val="32"/>
          <w:szCs w:val="32"/>
        </w:rPr>
      </w:pPr>
      <w:bookmarkStart w:id="11" w:name="_Toc481760995"/>
    </w:p>
    <w:p w:rsidR="004379A1" w:rsidRPr="004A4B75" w:rsidRDefault="004379A1" w:rsidP="004A4B75">
      <w:pPr>
        <w:pStyle w:val="Heading1"/>
        <w:keepNext w:val="0"/>
        <w:keepLines w:val="0"/>
        <w:numPr>
          <w:ilvl w:val="0"/>
          <w:numId w:val="0"/>
        </w:numPr>
        <w:spacing w:before="0"/>
        <w:ind w:left="432" w:hanging="432"/>
        <w:rPr>
          <w:rFonts w:ascii="Arial" w:eastAsia="Times New Roman" w:hAnsi="Arial" w:cs="Arial"/>
          <w:bCs/>
          <w:color w:val="0072C6"/>
          <w:kern w:val="32"/>
          <w:sz w:val="32"/>
          <w:szCs w:val="32"/>
        </w:rPr>
      </w:pPr>
      <w:r w:rsidRPr="004A4B75">
        <w:rPr>
          <w:rFonts w:ascii="Arial" w:eastAsia="Times New Roman" w:hAnsi="Arial" w:cs="Arial"/>
          <w:bCs/>
          <w:color w:val="0072C6"/>
          <w:kern w:val="32"/>
          <w:sz w:val="32"/>
          <w:szCs w:val="32"/>
        </w:rPr>
        <w:lastRenderedPageBreak/>
        <w:t xml:space="preserve">Appendix </w:t>
      </w:r>
      <w:r w:rsidR="00F1146C" w:rsidRPr="004A4B75">
        <w:rPr>
          <w:rFonts w:ascii="Arial" w:eastAsia="Times New Roman" w:hAnsi="Arial" w:cs="Arial"/>
          <w:bCs/>
          <w:color w:val="0072C6"/>
          <w:kern w:val="32"/>
          <w:sz w:val="32"/>
          <w:szCs w:val="32"/>
        </w:rPr>
        <w:t>3</w:t>
      </w:r>
      <w:r w:rsidR="004A4B75" w:rsidRPr="004A4B75">
        <w:rPr>
          <w:rFonts w:ascii="Arial" w:eastAsia="Times New Roman" w:hAnsi="Arial" w:cs="Arial"/>
          <w:bCs/>
          <w:color w:val="0072C6"/>
          <w:kern w:val="32"/>
          <w:sz w:val="32"/>
          <w:szCs w:val="32"/>
        </w:rPr>
        <w:t xml:space="preserve">: </w:t>
      </w:r>
      <w:r w:rsidRPr="004A4B75">
        <w:rPr>
          <w:rFonts w:ascii="Arial" w:eastAsia="Times New Roman" w:hAnsi="Arial" w:cs="Arial"/>
          <w:bCs/>
          <w:color w:val="0072C6"/>
          <w:kern w:val="32"/>
          <w:sz w:val="32"/>
          <w:szCs w:val="32"/>
        </w:rPr>
        <w:t>D</w:t>
      </w:r>
      <w:r w:rsidR="003334C8">
        <w:rPr>
          <w:rFonts w:ascii="Arial" w:eastAsia="Times New Roman" w:hAnsi="Arial" w:cs="Arial"/>
          <w:bCs/>
          <w:color w:val="0072C6"/>
          <w:kern w:val="32"/>
          <w:sz w:val="32"/>
          <w:szCs w:val="32"/>
        </w:rPr>
        <w:t>eclaration</w:t>
      </w:r>
      <w:r w:rsidRPr="004A4B75">
        <w:rPr>
          <w:rFonts w:ascii="Arial" w:eastAsia="Times New Roman" w:hAnsi="Arial" w:cs="Arial"/>
          <w:bCs/>
          <w:color w:val="0072C6"/>
          <w:kern w:val="32"/>
          <w:sz w:val="32"/>
          <w:szCs w:val="32"/>
        </w:rPr>
        <w:t xml:space="preserve"> of </w:t>
      </w:r>
      <w:r w:rsidR="003334C8">
        <w:rPr>
          <w:rFonts w:ascii="Arial" w:eastAsia="Times New Roman" w:hAnsi="Arial" w:cs="Arial"/>
          <w:bCs/>
          <w:color w:val="0072C6"/>
          <w:kern w:val="32"/>
          <w:sz w:val="32"/>
          <w:szCs w:val="32"/>
        </w:rPr>
        <w:t>consideration for the scheme</w:t>
      </w:r>
      <w:bookmarkEnd w:id="11"/>
    </w:p>
    <w:p w:rsidR="004A4B75" w:rsidRPr="004A4B75" w:rsidRDefault="004A4B75" w:rsidP="004A4B75"/>
    <w:p w:rsidR="004379A1" w:rsidRDefault="004379A1">
      <w:pPr>
        <w:spacing w:after="200" w:line="276" w:lineRule="auto"/>
      </w:pPr>
      <w:r w:rsidRPr="004379A1">
        <w:t xml:space="preserve">I confirm that I have the authorisation to apply on behalf of the practice to Health Education England (HEE) </w:t>
      </w:r>
      <w:r w:rsidR="003334C8">
        <w:t xml:space="preserve">GPN Ready Scheme </w:t>
      </w:r>
      <w:r w:rsidR="0023126F">
        <w:t xml:space="preserve">2019-20 </w:t>
      </w:r>
      <w:r w:rsidRPr="004379A1">
        <w:t xml:space="preserve">for consideration of </w:t>
      </w:r>
      <w:r w:rsidR="003334C8">
        <w:t xml:space="preserve">bursary </w:t>
      </w:r>
      <w:r w:rsidRPr="004379A1">
        <w:t>funding.</w:t>
      </w:r>
    </w:p>
    <w:p w:rsidR="00CE6CD5" w:rsidRPr="004379A1" w:rsidRDefault="00CE6CD5">
      <w:pPr>
        <w:spacing w:after="200" w:line="276" w:lineRule="auto"/>
      </w:pPr>
      <w:r>
        <w:t xml:space="preserve">I understand the </w:t>
      </w:r>
      <w:r w:rsidR="00EB66CE">
        <w:rPr>
          <w:sz w:val="22"/>
          <w:szCs w:val="22"/>
        </w:rPr>
        <w:t>PCWTH</w:t>
      </w:r>
      <w:r w:rsidR="00EB66CE">
        <w:t xml:space="preserve"> </w:t>
      </w:r>
      <w:r>
        <w:t xml:space="preserve">is my link for this scheme and its role in this scheme.  </w:t>
      </w:r>
      <w:r w:rsidR="003334C8">
        <w:t>I understand that a</w:t>
      </w:r>
      <w:r>
        <w:t xml:space="preserve">ll information related to the scheme will be subject to audit/inspection by either the </w:t>
      </w:r>
      <w:r w:rsidR="00EB66CE">
        <w:rPr>
          <w:sz w:val="22"/>
          <w:szCs w:val="22"/>
        </w:rPr>
        <w:t>PCWTH</w:t>
      </w:r>
      <w:r w:rsidR="00EB66CE">
        <w:t xml:space="preserve"> </w:t>
      </w:r>
      <w:r>
        <w:t>and/or HEE.</w:t>
      </w:r>
    </w:p>
    <w:p w:rsidR="004379A1" w:rsidRDefault="004379A1">
      <w:pPr>
        <w:spacing w:after="200" w:line="276" w:lineRule="auto"/>
      </w:pPr>
      <w:r w:rsidRPr="004379A1">
        <w:t>I confirm that I have read and understand the information contained within this document and that my practice can the responsibilities defined within it.</w:t>
      </w:r>
      <w:r>
        <w:t xml:space="preserve">  </w:t>
      </w:r>
    </w:p>
    <w:tbl>
      <w:tblPr>
        <w:tblStyle w:val="TableGrid"/>
        <w:tblW w:w="0" w:type="auto"/>
        <w:tblLook w:val="04A0" w:firstRow="1" w:lastRow="0" w:firstColumn="1" w:lastColumn="0" w:noHBand="0" w:noVBand="1"/>
      </w:tblPr>
      <w:tblGrid>
        <w:gridCol w:w="2376"/>
        <w:gridCol w:w="6866"/>
      </w:tblGrid>
      <w:tr w:rsidR="004379A1" w:rsidTr="004379A1">
        <w:tc>
          <w:tcPr>
            <w:tcW w:w="2376" w:type="dxa"/>
            <w:vAlign w:val="center"/>
          </w:tcPr>
          <w:p w:rsidR="004379A1" w:rsidRDefault="004379A1" w:rsidP="004379A1">
            <w:pPr>
              <w:spacing w:before="120" w:after="120" w:line="276" w:lineRule="auto"/>
              <w:rPr>
                <w:b/>
              </w:rPr>
            </w:pPr>
            <w:r>
              <w:rPr>
                <w:b/>
              </w:rPr>
              <w:t>Name</w:t>
            </w:r>
          </w:p>
        </w:tc>
        <w:tc>
          <w:tcPr>
            <w:tcW w:w="6866" w:type="dxa"/>
            <w:vAlign w:val="center"/>
          </w:tcPr>
          <w:p w:rsidR="004379A1" w:rsidRDefault="004379A1" w:rsidP="004379A1">
            <w:pPr>
              <w:spacing w:before="120" w:after="120" w:line="276" w:lineRule="auto"/>
              <w:rPr>
                <w:b/>
              </w:rPr>
            </w:pPr>
          </w:p>
        </w:tc>
      </w:tr>
      <w:tr w:rsidR="004379A1" w:rsidTr="004379A1">
        <w:tc>
          <w:tcPr>
            <w:tcW w:w="2376" w:type="dxa"/>
            <w:vAlign w:val="center"/>
          </w:tcPr>
          <w:p w:rsidR="004379A1" w:rsidRDefault="004379A1" w:rsidP="004379A1">
            <w:pPr>
              <w:spacing w:before="120" w:after="120" w:line="276" w:lineRule="auto"/>
              <w:rPr>
                <w:b/>
              </w:rPr>
            </w:pPr>
            <w:r>
              <w:rPr>
                <w:b/>
              </w:rPr>
              <w:t>Position / Role</w:t>
            </w:r>
          </w:p>
        </w:tc>
        <w:tc>
          <w:tcPr>
            <w:tcW w:w="6866" w:type="dxa"/>
            <w:vAlign w:val="center"/>
          </w:tcPr>
          <w:p w:rsidR="004379A1" w:rsidRDefault="004379A1" w:rsidP="004379A1">
            <w:pPr>
              <w:spacing w:before="120" w:after="120" w:line="276" w:lineRule="auto"/>
              <w:rPr>
                <w:b/>
              </w:rPr>
            </w:pPr>
          </w:p>
        </w:tc>
      </w:tr>
      <w:tr w:rsidR="004379A1" w:rsidTr="004379A1">
        <w:tc>
          <w:tcPr>
            <w:tcW w:w="2376" w:type="dxa"/>
            <w:vAlign w:val="center"/>
          </w:tcPr>
          <w:p w:rsidR="004379A1" w:rsidRDefault="004379A1" w:rsidP="004379A1">
            <w:pPr>
              <w:spacing w:before="120" w:after="120" w:line="276" w:lineRule="auto"/>
              <w:rPr>
                <w:b/>
              </w:rPr>
            </w:pPr>
            <w:r>
              <w:rPr>
                <w:b/>
              </w:rPr>
              <w:t>Practice</w:t>
            </w:r>
          </w:p>
        </w:tc>
        <w:tc>
          <w:tcPr>
            <w:tcW w:w="6866" w:type="dxa"/>
            <w:vAlign w:val="center"/>
          </w:tcPr>
          <w:p w:rsidR="004379A1" w:rsidRDefault="004379A1" w:rsidP="004379A1">
            <w:pPr>
              <w:spacing w:before="120" w:after="120" w:line="276" w:lineRule="auto"/>
              <w:rPr>
                <w:b/>
              </w:rPr>
            </w:pPr>
          </w:p>
        </w:tc>
      </w:tr>
      <w:tr w:rsidR="004379A1" w:rsidTr="004379A1">
        <w:trPr>
          <w:trHeight w:val="883"/>
        </w:trPr>
        <w:tc>
          <w:tcPr>
            <w:tcW w:w="2376" w:type="dxa"/>
            <w:vAlign w:val="center"/>
          </w:tcPr>
          <w:p w:rsidR="004379A1" w:rsidRDefault="004379A1" w:rsidP="004379A1">
            <w:pPr>
              <w:spacing w:before="120" w:after="120" w:line="276" w:lineRule="auto"/>
              <w:rPr>
                <w:b/>
              </w:rPr>
            </w:pPr>
            <w:r>
              <w:rPr>
                <w:b/>
              </w:rPr>
              <w:t>Signature</w:t>
            </w:r>
          </w:p>
        </w:tc>
        <w:tc>
          <w:tcPr>
            <w:tcW w:w="6866" w:type="dxa"/>
            <w:vAlign w:val="center"/>
          </w:tcPr>
          <w:p w:rsidR="004379A1" w:rsidRDefault="004379A1" w:rsidP="004379A1">
            <w:pPr>
              <w:spacing w:before="120" w:after="120" w:line="276" w:lineRule="auto"/>
              <w:rPr>
                <w:b/>
              </w:rPr>
            </w:pPr>
          </w:p>
        </w:tc>
      </w:tr>
      <w:tr w:rsidR="004379A1" w:rsidTr="004379A1">
        <w:tc>
          <w:tcPr>
            <w:tcW w:w="2376" w:type="dxa"/>
            <w:vAlign w:val="center"/>
          </w:tcPr>
          <w:p w:rsidR="004379A1" w:rsidRDefault="004379A1" w:rsidP="004379A1">
            <w:pPr>
              <w:spacing w:before="120" w:after="120" w:line="276" w:lineRule="auto"/>
              <w:rPr>
                <w:b/>
              </w:rPr>
            </w:pPr>
            <w:r>
              <w:rPr>
                <w:b/>
              </w:rPr>
              <w:t>Date</w:t>
            </w:r>
          </w:p>
        </w:tc>
        <w:tc>
          <w:tcPr>
            <w:tcW w:w="6866" w:type="dxa"/>
            <w:vAlign w:val="center"/>
          </w:tcPr>
          <w:p w:rsidR="004379A1" w:rsidRDefault="004379A1" w:rsidP="004379A1">
            <w:pPr>
              <w:spacing w:before="120" w:after="120" w:line="276" w:lineRule="auto"/>
              <w:rPr>
                <w:b/>
              </w:rPr>
            </w:pPr>
          </w:p>
        </w:tc>
      </w:tr>
    </w:tbl>
    <w:p w:rsidR="004379A1" w:rsidRDefault="004379A1">
      <w:pPr>
        <w:spacing w:after="200" w:line="276" w:lineRule="auto"/>
        <w:rPr>
          <w:b/>
        </w:rPr>
      </w:pPr>
    </w:p>
    <w:p w:rsidR="004379A1" w:rsidRDefault="0023126F">
      <w:pPr>
        <w:spacing w:after="200" w:line="276" w:lineRule="auto"/>
        <w:rPr>
          <w:b/>
        </w:rPr>
      </w:pPr>
      <w:r>
        <w:rPr>
          <w:b/>
        </w:rPr>
        <w:t xml:space="preserve">PCWTH </w:t>
      </w:r>
      <w:r w:rsidR="004379A1">
        <w:rPr>
          <w:b/>
        </w:rPr>
        <w:t>DECLARATION</w:t>
      </w:r>
    </w:p>
    <w:p w:rsidR="00413353" w:rsidRDefault="004379A1">
      <w:pPr>
        <w:spacing w:after="200" w:line="276" w:lineRule="auto"/>
      </w:pPr>
      <w:r w:rsidRPr="004379A1">
        <w:t>I confirm that this practice</w:t>
      </w:r>
      <w:r w:rsidR="00413353">
        <w:t>;</w:t>
      </w:r>
    </w:p>
    <w:p w:rsidR="00413353" w:rsidRDefault="00413353" w:rsidP="00413353">
      <w:pPr>
        <w:pStyle w:val="ListParagraph"/>
        <w:numPr>
          <w:ilvl w:val="0"/>
          <w:numId w:val="17"/>
        </w:numPr>
        <w:spacing w:after="200" w:line="276" w:lineRule="auto"/>
      </w:pPr>
      <w:r>
        <w:t>H</w:t>
      </w:r>
      <w:r w:rsidR="004379A1" w:rsidRPr="004379A1">
        <w:t>as been visited</w:t>
      </w:r>
      <w:r w:rsidR="004379A1">
        <w:t xml:space="preserve"> by a member of the </w:t>
      </w:r>
      <w:r w:rsidR="0023126F">
        <w:t>PCWTH</w:t>
      </w:r>
    </w:p>
    <w:p w:rsidR="00413353" w:rsidRDefault="00413353" w:rsidP="00413353">
      <w:pPr>
        <w:pStyle w:val="ListParagraph"/>
        <w:numPr>
          <w:ilvl w:val="0"/>
          <w:numId w:val="17"/>
        </w:numPr>
        <w:spacing w:after="200" w:line="276" w:lineRule="auto"/>
      </w:pPr>
      <w:r>
        <w:t>The</w:t>
      </w:r>
      <w:r w:rsidR="004379A1" w:rsidRPr="004379A1">
        <w:t xml:space="preserve"> elements outlined </w:t>
      </w:r>
      <w:r w:rsidR="004379A1">
        <w:t>in appendix 2 have been discus</w:t>
      </w:r>
      <w:r>
        <w:t>sed</w:t>
      </w:r>
    </w:p>
    <w:p w:rsidR="004379A1" w:rsidRDefault="00413353" w:rsidP="00413353">
      <w:pPr>
        <w:pStyle w:val="ListParagraph"/>
        <w:numPr>
          <w:ilvl w:val="0"/>
          <w:numId w:val="17"/>
        </w:numPr>
        <w:spacing w:after="200" w:line="276" w:lineRule="auto"/>
      </w:pPr>
      <w:r>
        <w:t>The relevant information collated</w:t>
      </w:r>
    </w:p>
    <w:p w:rsidR="00413353" w:rsidRDefault="00413353" w:rsidP="00413353">
      <w:pPr>
        <w:spacing w:after="200" w:line="276" w:lineRule="auto"/>
      </w:pPr>
      <w:r>
        <w:t xml:space="preserve">This practice is </w:t>
      </w:r>
      <w:r>
        <w:tab/>
        <w:t xml:space="preserve">SUITABLE / NOT SUITABLE </w:t>
      </w:r>
      <w:r>
        <w:tab/>
        <w:t>for this scheme</w:t>
      </w:r>
    </w:p>
    <w:tbl>
      <w:tblPr>
        <w:tblStyle w:val="TableGrid"/>
        <w:tblW w:w="0" w:type="auto"/>
        <w:tblLook w:val="04A0" w:firstRow="1" w:lastRow="0" w:firstColumn="1" w:lastColumn="0" w:noHBand="0" w:noVBand="1"/>
      </w:tblPr>
      <w:tblGrid>
        <w:gridCol w:w="2376"/>
        <w:gridCol w:w="6866"/>
      </w:tblGrid>
      <w:tr w:rsidR="004379A1" w:rsidTr="0066720A">
        <w:tc>
          <w:tcPr>
            <w:tcW w:w="2376" w:type="dxa"/>
            <w:vAlign w:val="center"/>
          </w:tcPr>
          <w:p w:rsidR="004379A1" w:rsidRDefault="004379A1" w:rsidP="0066720A">
            <w:pPr>
              <w:spacing w:before="120" w:after="120" w:line="276" w:lineRule="auto"/>
              <w:rPr>
                <w:b/>
              </w:rPr>
            </w:pPr>
            <w:r>
              <w:rPr>
                <w:b/>
              </w:rPr>
              <w:t>Name</w:t>
            </w:r>
          </w:p>
        </w:tc>
        <w:tc>
          <w:tcPr>
            <w:tcW w:w="6866" w:type="dxa"/>
            <w:vAlign w:val="center"/>
          </w:tcPr>
          <w:p w:rsidR="004379A1" w:rsidRDefault="004379A1" w:rsidP="0066720A">
            <w:pPr>
              <w:spacing w:before="120" w:after="120" w:line="276" w:lineRule="auto"/>
              <w:rPr>
                <w:b/>
              </w:rPr>
            </w:pPr>
          </w:p>
        </w:tc>
      </w:tr>
      <w:tr w:rsidR="004379A1" w:rsidTr="0066720A">
        <w:tc>
          <w:tcPr>
            <w:tcW w:w="2376" w:type="dxa"/>
            <w:vAlign w:val="center"/>
          </w:tcPr>
          <w:p w:rsidR="004379A1" w:rsidRDefault="004379A1" w:rsidP="0023126F">
            <w:pPr>
              <w:spacing w:before="120" w:after="120" w:line="276" w:lineRule="auto"/>
              <w:rPr>
                <w:b/>
              </w:rPr>
            </w:pPr>
            <w:r>
              <w:rPr>
                <w:b/>
              </w:rPr>
              <w:t xml:space="preserve">Position / Role in </w:t>
            </w:r>
            <w:r w:rsidR="0023126F">
              <w:rPr>
                <w:b/>
              </w:rPr>
              <w:t>PCWTH</w:t>
            </w:r>
          </w:p>
        </w:tc>
        <w:tc>
          <w:tcPr>
            <w:tcW w:w="6866" w:type="dxa"/>
            <w:vAlign w:val="center"/>
          </w:tcPr>
          <w:p w:rsidR="004379A1" w:rsidRDefault="004379A1" w:rsidP="0066720A">
            <w:pPr>
              <w:spacing w:before="120" w:after="120" w:line="276" w:lineRule="auto"/>
              <w:rPr>
                <w:b/>
              </w:rPr>
            </w:pPr>
          </w:p>
        </w:tc>
      </w:tr>
      <w:tr w:rsidR="004379A1" w:rsidTr="004379A1">
        <w:trPr>
          <w:trHeight w:val="910"/>
        </w:trPr>
        <w:tc>
          <w:tcPr>
            <w:tcW w:w="2376" w:type="dxa"/>
            <w:vAlign w:val="center"/>
          </w:tcPr>
          <w:p w:rsidR="004379A1" w:rsidRDefault="004379A1" w:rsidP="0066720A">
            <w:pPr>
              <w:spacing w:before="120" w:after="120" w:line="276" w:lineRule="auto"/>
              <w:rPr>
                <w:b/>
              </w:rPr>
            </w:pPr>
            <w:r>
              <w:rPr>
                <w:b/>
              </w:rPr>
              <w:t>Signature</w:t>
            </w:r>
          </w:p>
        </w:tc>
        <w:tc>
          <w:tcPr>
            <w:tcW w:w="6866" w:type="dxa"/>
            <w:vAlign w:val="center"/>
          </w:tcPr>
          <w:p w:rsidR="004379A1" w:rsidRDefault="004379A1" w:rsidP="0066720A">
            <w:pPr>
              <w:spacing w:before="120" w:after="120" w:line="276" w:lineRule="auto"/>
              <w:rPr>
                <w:b/>
              </w:rPr>
            </w:pPr>
          </w:p>
        </w:tc>
      </w:tr>
      <w:tr w:rsidR="004379A1" w:rsidTr="0066720A">
        <w:tc>
          <w:tcPr>
            <w:tcW w:w="2376" w:type="dxa"/>
            <w:vAlign w:val="center"/>
          </w:tcPr>
          <w:p w:rsidR="004379A1" w:rsidRDefault="004379A1" w:rsidP="0066720A">
            <w:pPr>
              <w:spacing w:before="120" w:after="120" w:line="276" w:lineRule="auto"/>
              <w:rPr>
                <w:b/>
              </w:rPr>
            </w:pPr>
            <w:r>
              <w:rPr>
                <w:b/>
              </w:rPr>
              <w:t>Date</w:t>
            </w:r>
          </w:p>
        </w:tc>
        <w:tc>
          <w:tcPr>
            <w:tcW w:w="6866" w:type="dxa"/>
            <w:vAlign w:val="center"/>
          </w:tcPr>
          <w:p w:rsidR="004379A1" w:rsidRDefault="004379A1" w:rsidP="0066720A">
            <w:pPr>
              <w:spacing w:before="120" w:after="120" w:line="276" w:lineRule="auto"/>
              <w:rPr>
                <w:b/>
              </w:rPr>
            </w:pPr>
          </w:p>
        </w:tc>
      </w:tr>
    </w:tbl>
    <w:p w:rsidR="004379A1" w:rsidRPr="004379A1" w:rsidRDefault="004379A1">
      <w:pPr>
        <w:spacing w:after="200" w:line="276" w:lineRule="auto"/>
      </w:pPr>
    </w:p>
    <w:sectPr w:rsidR="004379A1" w:rsidRPr="004379A1" w:rsidSect="00B6154B">
      <w:headerReference w:type="default" r:id="rId10"/>
      <w:footerReference w:type="default" r:id="rId11"/>
      <w:headerReference w:type="first" r:id="rId12"/>
      <w:footerReference w:type="first" r:id="rId13"/>
      <w:pgSz w:w="11906" w:h="16838"/>
      <w:pgMar w:top="1814" w:right="144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BE" w:rsidRDefault="00A073BE" w:rsidP="004D1691">
      <w:r>
        <w:separator/>
      </w:r>
    </w:p>
  </w:endnote>
  <w:endnote w:type="continuationSeparator" w:id="0">
    <w:p w:rsidR="00A073BE" w:rsidRDefault="00A073BE" w:rsidP="004D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31" w:rsidRDefault="00827D31">
    <w:pPr>
      <w:pStyle w:val="Footer"/>
    </w:pPr>
    <w:r>
      <w:rPr>
        <w:noProof/>
        <w:lang w:eastAsia="en-GB"/>
      </w:rPr>
      <w:drawing>
        <wp:anchor distT="0" distB="0" distL="114300" distR="114300" simplePos="0" relativeHeight="251667456" behindDoc="0" locked="0" layoutInCell="1" allowOverlap="1" wp14:anchorId="278BFDF6" wp14:editId="409A7F8A">
          <wp:simplePos x="0" y="0"/>
          <wp:positionH relativeFrom="column">
            <wp:posOffset>-53340</wp:posOffset>
          </wp:positionH>
          <wp:positionV relativeFrom="paragraph">
            <wp:posOffset>10795</wp:posOffset>
          </wp:positionV>
          <wp:extent cx="3028950" cy="514350"/>
          <wp:effectExtent l="0" t="0" r="0" b="0"/>
          <wp:wrapSquare wrapText="bothSides"/>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CE" w:rsidRDefault="00EB66CE" w:rsidP="00EB66CE">
    <w:pPr>
      <w:pStyle w:val="Footer"/>
      <w:jc w:val="center"/>
    </w:pPr>
    <w:r>
      <w:rPr>
        <w:noProof/>
        <w:lang w:eastAsia="en-GB"/>
      </w:rPr>
      <w:drawing>
        <wp:inline distT="0" distB="0" distL="0" distR="0" wp14:anchorId="69467FFE" wp14:editId="50A922D7">
          <wp:extent cx="4144316" cy="1078302"/>
          <wp:effectExtent l="0" t="0" r="8890" b="7620"/>
          <wp:docPr id="4" name="Picture 4" descr="cid:6CA70EEB-6818-4751-BD5E-65E93E664EE7@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3807B-6EAF-4109-805A-389866949629" descr="cid:6CA70EEB-6818-4751-BD5E-65E93E664EE7@defaul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94374" cy="10913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BE" w:rsidRDefault="00A073BE" w:rsidP="004D1691">
      <w:r>
        <w:separator/>
      </w:r>
    </w:p>
  </w:footnote>
  <w:footnote w:type="continuationSeparator" w:id="0">
    <w:p w:rsidR="00A073BE" w:rsidRDefault="00A073BE" w:rsidP="004D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91" w:rsidRPr="00827D31" w:rsidRDefault="00CB10AF" w:rsidP="00827D31">
    <w:pPr>
      <w:pStyle w:val="Header"/>
      <w:jc w:val="right"/>
      <w:rPr>
        <w:b/>
        <w:sz w:val="20"/>
      </w:rPr>
    </w:pPr>
    <w:r>
      <w:rPr>
        <w:b/>
        <w:sz w:val="20"/>
      </w:rPr>
      <w:t xml:space="preserve">GPN Ready </w:t>
    </w:r>
    <w:r w:rsidR="00BB51B6">
      <w:rPr>
        <w:b/>
        <w:sz w:val="20"/>
      </w:rPr>
      <w:t>2019/20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91" w:rsidRDefault="00B6154B">
    <w:pPr>
      <w:pStyle w:val="Header"/>
    </w:pPr>
    <w:r w:rsidRPr="000A1344">
      <w:rPr>
        <w:rFonts w:cs="Arial"/>
        <w:noProof/>
        <w:szCs w:val="24"/>
        <w:lang w:eastAsia="en-GB"/>
      </w:rPr>
      <w:drawing>
        <wp:anchor distT="36576" distB="36576" distL="36576" distR="36576" simplePos="0" relativeHeight="251665408" behindDoc="0" locked="0" layoutInCell="1" allowOverlap="1" wp14:anchorId="427A8DF2" wp14:editId="72A466C9">
          <wp:simplePos x="0" y="0"/>
          <wp:positionH relativeFrom="column">
            <wp:posOffset>3827721</wp:posOffset>
          </wp:positionH>
          <wp:positionV relativeFrom="paragraph">
            <wp:posOffset>-88708</wp:posOffset>
          </wp:positionV>
          <wp:extent cx="2456121" cy="690119"/>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4651"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59D"/>
    <w:multiLevelType w:val="hybridMultilevel"/>
    <w:tmpl w:val="FAC274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40C8C"/>
    <w:multiLevelType w:val="hybridMultilevel"/>
    <w:tmpl w:val="2FDA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8227A"/>
    <w:multiLevelType w:val="hybridMultilevel"/>
    <w:tmpl w:val="23D060CE"/>
    <w:lvl w:ilvl="0" w:tplc="22DE06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E179F"/>
    <w:multiLevelType w:val="hybridMultilevel"/>
    <w:tmpl w:val="D9DC8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B40499"/>
    <w:multiLevelType w:val="hybridMultilevel"/>
    <w:tmpl w:val="118C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16FB"/>
    <w:multiLevelType w:val="hybridMultilevel"/>
    <w:tmpl w:val="AF62E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AE72AC"/>
    <w:multiLevelType w:val="hybridMultilevel"/>
    <w:tmpl w:val="898C3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5A3A5F"/>
    <w:multiLevelType w:val="hybridMultilevel"/>
    <w:tmpl w:val="2C4A9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E455F8"/>
    <w:multiLevelType w:val="hybridMultilevel"/>
    <w:tmpl w:val="80C8F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EA1580"/>
    <w:multiLevelType w:val="hybridMultilevel"/>
    <w:tmpl w:val="E98AE2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923BE6"/>
    <w:multiLevelType w:val="hybridMultilevel"/>
    <w:tmpl w:val="4DC25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1537E6"/>
    <w:multiLevelType w:val="hybridMultilevel"/>
    <w:tmpl w:val="4BC65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FC5FF8"/>
    <w:multiLevelType w:val="hybridMultilevel"/>
    <w:tmpl w:val="E16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923FF"/>
    <w:multiLevelType w:val="hybridMultilevel"/>
    <w:tmpl w:val="56F2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D94CB2"/>
    <w:multiLevelType w:val="hybridMultilevel"/>
    <w:tmpl w:val="21F8A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A13296"/>
    <w:multiLevelType w:val="hybridMultilevel"/>
    <w:tmpl w:val="A7D05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5453A7"/>
    <w:multiLevelType w:val="hybridMultilevel"/>
    <w:tmpl w:val="09A0B9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2967D2"/>
    <w:multiLevelType w:val="hybridMultilevel"/>
    <w:tmpl w:val="7D94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A9494E"/>
    <w:multiLevelType w:val="hybridMultilevel"/>
    <w:tmpl w:val="ED8CC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625982"/>
    <w:multiLevelType w:val="hybridMultilevel"/>
    <w:tmpl w:val="0D9C7B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1C7649B"/>
    <w:multiLevelType w:val="hybridMultilevel"/>
    <w:tmpl w:val="9BC0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651B8B"/>
    <w:multiLevelType w:val="hybridMultilevel"/>
    <w:tmpl w:val="D3146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B41234"/>
    <w:multiLevelType w:val="hybridMultilevel"/>
    <w:tmpl w:val="EE0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DB53AC"/>
    <w:multiLevelType w:val="hybridMultilevel"/>
    <w:tmpl w:val="540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10729"/>
    <w:multiLevelType w:val="hybridMultilevel"/>
    <w:tmpl w:val="D76E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3441D4"/>
    <w:multiLevelType w:val="hybridMultilevel"/>
    <w:tmpl w:val="57E8D7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2E749D5"/>
    <w:multiLevelType w:val="hybridMultilevel"/>
    <w:tmpl w:val="73B08A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nsid w:val="734C6B6B"/>
    <w:multiLevelType w:val="hybridMultilevel"/>
    <w:tmpl w:val="6DD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0E1A1E"/>
    <w:multiLevelType w:val="hybridMultilevel"/>
    <w:tmpl w:val="642EC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505EDB"/>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5D7FA6"/>
    <w:multiLevelType w:val="hybridMultilevel"/>
    <w:tmpl w:val="C4102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9FF04A0"/>
    <w:multiLevelType w:val="hybridMultilevel"/>
    <w:tmpl w:val="54CA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5"/>
  </w:num>
  <w:num w:numId="4">
    <w:abstractNumId w:val="23"/>
  </w:num>
  <w:num w:numId="5">
    <w:abstractNumId w:val="27"/>
  </w:num>
  <w:num w:numId="6">
    <w:abstractNumId w:val="31"/>
  </w:num>
  <w:num w:numId="7">
    <w:abstractNumId w:val="22"/>
  </w:num>
  <w:num w:numId="8">
    <w:abstractNumId w:val="1"/>
  </w:num>
  <w:num w:numId="9">
    <w:abstractNumId w:val="7"/>
  </w:num>
  <w:num w:numId="10">
    <w:abstractNumId w:val="10"/>
  </w:num>
  <w:num w:numId="11">
    <w:abstractNumId w:val="4"/>
  </w:num>
  <w:num w:numId="12">
    <w:abstractNumId w:val="20"/>
  </w:num>
  <w:num w:numId="13">
    <w:abstractNumId w:val="5"/>
  </w:num>
  <w:num w:numId="14">
    <w:abstractNumId w:val="18"/>
  </w:num>
  <w:num w:numId="15">
    <w:abstractNumId w:val="30"/>
  </w:num>
  <w:num w:numId="16">
    <w:abstractNumId w:val="25"/>
  </w:num>
  <w:num w:numId="17">
    <w:abstractNumId w:val="19"/>
  </w:num>
  <w:num w:numId="18">
    <w:abstractNumId w:val="11"/>
  </w:num>
  <w:num w:numId="19">
    <w:abstractNumId w:val="0"/>
  </w:num>
  <w:num w:numId="20">
    <w:abstractNumId w:val="6"/>
  </w:num>
  <w:num w:numId="21">
    <w:abstractNumId w:val="13"/>
  </w:num>
  <w:num w:numId="22">
    <w:abstractNumId w:val="2"/>
  </w:num>
  <w:num w:numId="23">
    <w:abstractNumId w:val="24"/>
  </w:num>
  <w:num w:numId="24">
    <w:abstractNumId w:val="26"/>
  </w:num>
  <w:num w:numId="25">
    <w:abstractNumId w:val="9"/>
  </w:num>
  <w:num w:numId="26">
    <w:abstractNumId w:val="16"/>
  </w:num>
  <w:num w:numId="27">
    <w:abstractNumId w:val="14"/>
  </w:num>
  <w:num w:numId="28">
    <w:abstractNumId w:val="17"/>
  </w:num>
  <w:num w:numId="29">
    <w:abstractNumId w:val="8"/>
  </w:num>
  <w:num w:numId="30">
    <w:abstractNumId w:val="12"/>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C6"/>
    <w:rsid w:val="00070A61"/>
    <w:rsid w:val="00091AB0"/>
    <w:rsid w:val="0009350A"/>
    <w:rsid w:val="00097B95"/>
    <w:rsid w:val="0010061F"/>
    <w:rsid w:val="00175BD8"/>
    <w:rsid w:val="0018603F"/>
    <w:rsid w:val="001902C5"/>
    <w:rsid w:val="001B5B3A"/>
    <w:rsid w:val="0023126F"/>
    <w:rsid w:val="00257B7D"/>
    <w:rsid w:val="0028237B"/>
    <w:rsid w:val="002B30BD"/>
    <w:rsid w:val="003334C8"/>
    <w:rsid w:val="003441C2"/>
    <w:rsid w:val="00381939"/>
    <w:rsid w:val="003C5315"/>
    <w:rsid w:val="003E08CA"/>
    <w:rsid w:val="00410EA5"/>
    <w:rsid w:val="00413353"/>
    <w:rsid w:val="0042419E"/>
    <w:rsid w:val="004379A1"/>
    <w:rsid w:val="004A4B75"/>
    <w:rsid w:val="004B6C5C"/>
    <w:rsid w:val="004D14C6"/>
    <w:rsid w:val="004D1691"/>
    <w:rsid w:val="004E0A8B"/>
    <w:rsid w:val="0050242E"/>
    <w:rsid w:val="00575E9B"/>
    <w:rsid w:val="005C29D2"/>
    <w:rsid w:val="005F6082"/>
    <w:rsid w:val="0061336E"/>
    <w:rsid w:val="00647D8A"/>
    <w:rsid w:val="006D50B4"/>
    <w:rsid w:val="006F5CDF"/>
    <w:rsid w:val="0070213E"/>
    <w:rsid w:val="00705D33"/>
    <w:rsid w:val="007A4F72"/>
    <w:rsid w:val="007A5C47"/>
    <w:rsid w:val="007F2C43"/>
    <w:rsid w:val="00827D31"/>
    <w:rsid w:val="00834A5A"/>
    <w:rsid w:val="008820B5"/>
    <w:rsid w:val="008B30C9"/>
    <w:rsid w:val="008D23A8"/>
    <w:rsid w:val="0092652A"/>
    <w:rsid w:val="00931EAC"/>
    <w:rsid w:val="009B58B6"/>
    <w:rsid w:val="009E47EB"/>
    <w:rsid w:val="00A05404"/>
    <w:rsid w:val="00A073BE"/>
    <w:rsid w:val="00A100CF"/>
    <w:rsid w:val="00A432E2"/>
    <w:rsid w:val="00A45C1B"/>
    <w:rsid w:val="00A71267"/>
    <w:rsid w:val="00AA6D78"/>
    <w:rsid w:val="00AD052A"/>
    <w:rsid w:val="00B07A27"/>
    <w:rsid w:val="00B27E28"/>
    <w:rsid w:val="00B40C04"/>
    <w:rsid w:val="00B6154B"/>
    <w:rsid w:val="00B93A60"/>
    <w:rsid w:val="00BB51B6"/>
    <w:rsid w:val="00C17412"/>
    <w:rsid w:val="00C4717D"/>
    <w:rsid w:val="00C556C9"/>
    <w:rsid w:val="00C841A6"/>
    <w:rsid w:val="00C93E7B"/>
    <w:rsid w:val="00C968E8"/>
    <w:rsid w:val="00CB10AF"/>
    <w:rsid w:val="00CE6CD5"/>
    <w:rsid w:val="00CF3F44"/>
    <w:rsid w:val="00D75A90"/>
    <w:rsid w:val="00DA2803"/>
    <w:rsid w:val="00DE208E"/>
    <w:rsid w:val="00E12CD9"/>
    <w:rsid w:val="00E259B8"/>
    <w:rsid w:val="00E47278"/>
    <w:rsid w:val="00E7661B"/>
    <w:rsid w:val="00E95607"/>
    <w:rsid w:val="00EB66CE"/>
    <w:rsid w:val="00EF5F53"/>
    <w:rsid w:val="00F1146C"/>
    <w:rsid w:val="00F159A1"/>
    <w:rsid w:val="00F2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C6"/>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F1146C"/>
    <w:pPr>
      <w:keepNext/>
      <w:keepLines/>
      <w:numPr>
        <w:numId w:val="31"/>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05404"/>
    <w:pPr>
      <w:keepNext/>
      <w:keepLines/>
      <w:numPr>
        <w:ilvl w:val="1"/>
        <w:numId w:val="31"/>
      </w:numPr>
      <w:spacing w:before="200"/>
      <w:outlineLvl w:val="1"/>
    </w:pPr>
    <w:rPr>
      <w:rFonts w:asciiTheme="majorHAnsi" w:eastAsiaTheme="majorEastAsia" w:hAnsiTheme="majorHAnsi" w:cstheme="majorBidi"/>
      <w:b/>
      <w:bCs w:val="0"/>
      <w:color w:val="4F81BD" w:themeColor="accent1"/>
      <w:sz w:val="26"/>
    </w:rPr>
  </w:style>
  <w:style w:type="paragraph" w:styleId="Heading3">
    <w:name w:val="heading 3"/>
    <w:basedOn w:val="Normal"/>
    <w:next w:val="Normal"/>
    <w:link w:val="Heading3Char"/>
    <w:uiPriority w:val="9"/>
    <w:unhideWhenUsed/>
    <w:qFormat/>
    <w:rsid w:val="00D75A90"/>
    <w:pPr>
      <w:keepNext/>
      <w:keepLines/>
      <w:numPr>
        <w:ilvl w:val="2"/>
        <w:numId w:val="3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F1146C"/>
    <w:pPr>
      <w:keepNext/>
      <w:keepLines/>
      <w:numPr>
        <w:ilvl w:val="3"/>
        <w:numId w:val="3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F1146C"/>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146C"/>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146C"/>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46C"/>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146C"/>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4C6"/>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4C6"/>
    <w:pPr>
      <w:ind w:left="720"/>
      <w:contextualSpacing/>
    </w:pPr>
  </w:style>
  <w:style w:type="paragraph" w:customStyle="1" w:styleId="Default">
    <w:name w:val="Default"/>
    <w:rsid w:val="004D14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1691"/>
    <w:pPr>
      <w:tabs>
        <w:tab w:val="center" w:pos="4513"/>
        <w:tab w:val="right" w:pos="9026"/>
      </w:tabs>
    </w:pPr>
  </w:style>
  <w:style w:type="character" w:customStyle="1" w:styleId="HeaderChar">
    <w:name w:val="Header Char"/>
    <w:basedOn w:val="DefaultParagraphFont"/>
    <w:link w:val="Header"/>
    <w:uiPriority w:val="99"/>
    <w:rsid w:val="004D1691"/>
    <w:rPr>
      <w:rFonts w:ascii="Arial" w:eastAsia="Times New Roman" w:hAnsi="Arial" w:cs="Times New Roman"/>
      <w:bCs/>
      <w:sz w:val="24"/>
      <w:szCs w:val="26"/>
    </w:rPr>
  </w:style>
  <w:style w:type="paragraph" w:styleId="Footer">
    <w:name w:val="footer"/>
    <w:basedOn w:val="Normal"/>
    <w:link w:val="FooterChar"/>
    <w:uiPriority w:val="99"/>
    <w:unhideWhenUsed/>
    <w:rsid w:val="004D1691"/>
    <w:pPr>
      <w:tabs>
        <w:tab w:val="center" w:pos="4513"/>
        <w:tab w:val="right" w:pos="9026"/>
      </w:tabs>
    </w:pPr>
  </w:style>
  <w:style w:type="character" w:customStyle="1" w:styleId="FooterChar">
    <w:name w:val="Footer Char"/>
    <w:basedOn w:val="DefaultParagraphFont"/>
    <w:link w:val="Footer"/>
    <w:uiPriority w:val="99"/>
    <w:rsid w:val="004D1691"/>
    <w:rPr>
      <w:rFonts w:ascii="Arial" w:eastAsia="Times New Roman" w:hAnsi="Arial" w:cs="Times New Roman"/>
      <w:bCs/>
      <w:sz w:val="24"/>
      <w:szCs w:val="26"/>
    </w:rPr>
  </w:style>
  <w:style w:type="character" w:styleId="Hyperlink">
    <w:name w:val="Hyperlink"/>
    <w:basedOn w:val="DefaultParagraphFont"/>
    <w:uiPriority w:val="99"/>
    <w:unhideWhenUsed/>
    <w:rsid w:val="00A05404"/>
    <w:rPr>
      <w:color w:val="0000FF" w:themeColor="hyperlink"/>
      <w:u w:val="single"/>
    </w:rPr>
  </w:style>
  <w:style w:type="paragraph" w:customStyle="1" w:styleId="Reportcovertitle">
    <w:name w:val="Report cover title"/>
    <w:basedOn w:val="Normal"/>
    <w:qFormat/>
    <w:rsid w:val="00A05404"/>
    <w:pPr>
      <w:spacing w:before="1200"/>
    </w:pPr>
    <w:rPr>
      <w:rFonts w:eastAsiaTheme="minorEastAsia" w:cstheme="minorBidi"/>
      <w:b/>
      <w:bCs w:val="0"/>
      <w:color w:val="A00054"/>
      <w:sz w:val="64"/>
      <w:szCs w:val="72"/>
    </w:rPr>
  </w:style>
  <w:style w:type="paragraph" w:customStyle="1" w:styleId="Reporttitleinheader">
    <w:name w:val="Report title in header"/>
    <w:basedOn w:val="Heading2"/>
    <w:qFormat/>
    <w:rsid w:val="00A05404"/>
    <w:pPr>
      <w:spacing w:before="0" w:after="100" w:afterAutospacing="1"/>
    </w:pPr>
    <w:rPr>
      <w:rFonts w:ascii="Arial" w:hAnsi="Arial"/>
      <w:bCs/>
      <w:color w:val="003893"/>
      <w:sz w:val="48"/>
      <w:szCs w:val="28"/>
    </w:rPr>
  </w:style>
  <w:style w:type="character" w:customStyle="1" w:styleId="Heading2Char">
    <w:name w:val="Heading 2 Char"/>
    <w:basedOn w:val="DefaultParagraphFont"/>
    <w:link w:val="Heading2"/>
    <w:uiPriority w:val="9"/>
    <w:rsid w:val="00A05404"/>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D75A90"/>
    <w:rPr>
      <w:rFonts w:asciiTheme="majorHAnsi" w:eastAsiaTheme="majorEastAsia" w:hAnsiTheme="majorHAnsi" w:cstheme="majorBidi"/>
      <w:b/>
      <w:color w:val="4F81BD" w:themeColor="accent1"/>
      <w:sz w:val="24"/>
      <w:szCs w:val="26"/>
    </w:rPr>
  </w:style>
  <w:style w:type="paragraph" w:styleId="BalloonText">
    <w:name w:val="Balloon Text"/>
    <w:basedOn w:val="Normal"/>
    <w:link w:val="BalloonTextChar"/>
    <w:uiPriority w:val="99"/>
    <w:semiHidden/>
    <w:unhideWhenUsed/>
    <w:rsid w:val="0061336E"/>
    <w:rPr>
      <w:rFonts w:ascii="Tahoma" w:hAnsi="Tahoma" w:cs="Tahoma"/>
      <w:sz w:val="16"/>
      <w:szCs w:val="16"/>
    </w:rPr>
  </w:style>
  <w:style w:type="character" w:customStyle="1" w:styleId="BalloonTextChar">
    <w:name w:val="Balloon Text Char"/>
    <w:basedOn w:val="DefaultParagraphFont"/>
    <w:link w:val="BalloonText"/>
    <w:uiPriority w:val="99"/>
    <w:semiHidden/>
    <w:rsid w:val="0061336E"/>
    <w:rPr>
      <w:rFonts w:ascii="Tahoma" w:eastAsia="Times New Roman" w:hAnsi="Tahoma" w:cs="Tahoma"/>
      <w:bCs/>
      <w:sz w:val="16"/>
      <w:szCs w:val="16"/>
    </w:rPr>
  </w:style>
  <w:style w:type="character" w:customStyle="1" w:styleId="Heading1Char">
    <w:name w:val="Heading 1 Char"/>
    <w:basedOn w:val="DefaultParagraphFont"/>
    <w:link w:val="Heading1"/>
    <w:uiPriority w:val="9"/>
    <w:rsid w:val="00F1146C"/>
    <w:rPr>
      <w:rFonts w:asciiTheme="majorHAnsi" w:eastAsiaTheme="majorEastAsia" w:hAnsiTheme="majorHAnsi" w:cstheme="majorBidi"/>
      <w:b/>
      <w:color w:val="365F91" w:themeColor="accent1" w:themeShade="BF"/>
      <w:sz w:val="28"/>
      <w:szCs w:val="28"/>
    </w:rPr>
  </w:style>
  <w:style w:type="paragraph" w:styleId="TOCHeading">
    <w:name w:val="TOC Heading"/>
    <w:basedOn w:val="Heading1"/>
    <w:next w:val="Normal"/>
    <w:uiPriority w:val="39"/>
    <w:semiHidden/>
    <w:unhideWhenUsed/>
    <w:qFormat/>
    <w:rsid w:val="00F1146C"/>
    <w:pPr>
      <w:spacing w:line="276" w:lineRule="auto"/>
      <w:outlineLvl w:val="9"/>
    </w:pPr>
    <w:rPr>
      <w:bCs/>
      <w:lang w:val="en-US" w:eastAsia="ja-JP"/>
    </w:rPr>
  </w:style>
  <w:style w:type="paragraph" w:styleId="TOC2">
    <w:name w:val="toc 2"/>
    <w:basedOn w:val="Normal"/>
    <w:next w:val="Normal"/>
    <w:autoRedefine/>
    <w:uiPriority w:val="39"/>
    <w:unhideWhenUsed/>
    <w:qFormat/>
    <w:rsid w:val="003334C8"/>
    <w:pPr>
      <w:tabs>
        <w:tab w:val="left" w:pos="880"/>
        <w:tab w:val="right" w:leader="dot" w:pos="9016"/>
      </w:tabs>
      <w:spacing w:after="100" w:line="276" w:lineRule="auto"/>
      <w:ind w:left="284" w:hanging="284"/>
    </w:pPr>
    <w:rPr>
      <w:rFonts w:asciiTheme="minorHAnsi" w:eastAsiaTheme="minorEastAsia" w:hAnsiTheme="minorHAnsi" w:cstheme="minorBidi"/>
      <w:bCs w:val="0"/>
      <w:sz w:val="22"/>
      <w:szCs w:val="22"/>
      <w:lang w:val="en-US" w:eastAsia="ja-JP"/>
    </w:rPr>
  </w:style>
  <w:style w:type="paragraph" w:styleId="TOC1">
    <w:name w:val="toc 1"/>
    <w:basedOn w:val="Normal"/>
    <w:next w:val="Normal"/>
    <w:autoRedefine/>
    <w:uiPriority w:val="39"/>
    <w:unhideWhenUsed/>
    <w:qFormat/>
    <w:rsid w:val="00F1146C"/>
    <w:pPr>
      <w:spacing w:after="100" w:line="276" w:lineRule="auto"/>
    </w:pPr>
    <w:rPr>
      <w:rFonts w:asciiTheme="minorHAnsi" w:eastAsiaTheme="minorEastAsia" w:hAnsiTheme="minorHAnsi" w:cstheme="minorBidi"/>
      <w:bCs w:val="0"/>
      <w:sz w:val="22"/>
      <w:szCs w:val="22"/>
      <w:lang w:val="en-US" w:eastAsia="ja-JP"/>
    </w:rPr>
  </w:style>
  <w:style w:type="paragraph" w:styleId="TOC3">
    <w:name w:val="toc 3"/>
    <w:basedOn w:val="Normal"/>
    <w:next w:val="Normal"/>
    <w:autoRedefine/>
    <w:uiPriority w:val="39"/>
    <w:semiHidden/>
    <w:unhideWhenUsed/>
    <w:qFormat/>
    <w:rsid w:val="00F1146C"/>
    <w:pPr>
      <w:spacing w:after="100" w:line="276" w:lineRule="auto"/>
      <w:ind w:left="440"/>
    </w:pPr>
    <w:rPr>
      <w:rFonts w:asciiTheme="minorHAnsi" w:eastAsiaTheme="minorEastAsia" w:hAnsiTheme="minorHAnsi" w:cstheme="minorBidi"/>
      <w:bCs w:val="0"/>
      <w:sz w:val="22"/>
      <w:szCs w:val="22"/>
      <w:lang w:val="en-US" w:eastAsia="ja-JP"/>
    </w:rPr>
  </w:style>
  <w:style w:type="character" w:customStyle="1" w:styleId="Heading4Char">
    <w:name w:val="Heading 4 Char"/>
    <w:basedOn w:val="DefaultParagraphFont"/>
    <w:link w:val="Heading4"/>
    <w:uiPriority w:val="9"/>
    <w:semiHidden/>
    <w:rsid w:val="00F1146C"/>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F1146C"/>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F1146C"/>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F1146C"/>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F1146C"/>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F1146C"/>
    <w:rPr>
      <w:rFonts w:asciiTheme="majorHAnsi" w:eastAsiaTheme="majorEastAsia" w:hAnsiTheme="majorHAnsi" w:cstheme="majorBidi"/>
      <w:bCs/>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C6"/>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F1146C"/>
    <w:pPr>
      <w:keepNext/>
      <w:keepLines/>
      <w:numPr>
        <w:numId w:val="31"/>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05404"/>
    <w:pPr>
      <w:keepNext/>
      <w:keepLines/>
      <w:numPr>
        <w:ilvl w:val="1"/>
        <w:numId w:val="31"/>
      </w:numPr>
      <w:spacing w:before="200"/>
      <w:outlineLvl w:val="1"/>
    </w:pPr>
    <w:rPr>
      <w:rFonts w:asciiTheme="majorHAnsi" w:eastAsiaTheme="majorEastAsia" w:hAnsiTheme="majorHAnsi" w:cstheme="majorBidi"/>
      <w:b/>
      <w:bCs w:val="0"/>
      <w:color w:val="4F81BD" w:themeColor="accent1"/>
      <w:sz w:val="26"/>
    </w:rPr>
  </w:style>
  <w:style w:type="paragraph" w:styleId="Heading3">
    <w:name w:val="heading 3"/>
    <w:basedOn w:val="Normal"/>
    <w:next w:val="Normal"/>
    <w:link w:val="Heading3Char"/>
    <w:uiPriority w:val="9"/>
    <w:unhideWhenUsed/>
    <w:qFormat/>
    <w:rsid w:val="00D75A90"/>
    <w:pPr>
      <w:keepNext/>
      <w:keepLines/>
      <w:numPr>
        <w:ilvl w:val="2"/>
        <w:numId w:val="3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F1146C"/>
    <w:pPr>
      <w:keepNext/>
      <w:keepLines/>
      <w:numPr>
        <w:ilvl w:val="3"/>
        <w:numId w:val="3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F1146C"/>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146C"/>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146C"/>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146C"/>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146C"/>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4C6"/>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4C6"/>
    <w:pPr>
      <w:ind w:left="720"/>
      <w:contextualSpacing/>
    </w:pPr>
  </w:style>
  <w:style w:type="paragraph" w:customStyle="1" w:styleId="Default">
    <w:name w:val="Default"/>
    <w:rsid w:val="004D14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1691"/>
    <w:pPr>
      <w:tabs>
        <w:tab w:val="center" w:pos="4513"/>
        <w:tab w:val="right" w:pos="9026"/>
      </w:tabs>
    </w:pPr>
  </w:style>
  <w:style w:type="character" w:customStyle="1" w:styleId="HeaderChar">
    <w:name w:val="Header Char"/>
    <w:basedOn w:val="DefaultParagraphFont"/>
    <w:link w:val="Header"/>
    <w:uiPriority w:val="99"/>
    <w:rsid w:val="004D1691"/>
    <w:rPr>
      <w:rFonts w:ascii="Arial" w:eastAsia="Times New Roman" w:hAnsi="Arial" w:cs="Times New Roman"/>
      <w:bCs/>
      <w:sz w:val="24"/>
      <w:szCs w:val="26"/>
    </w:rPr>
  </w:style>
  <w:style w:type="paragraph" w:styleId="Footer">
    <w:name w:val="footer"/>
    <w:basedOn w:val="Normal"/>
    <w:link w:val="FooterChar"/>
    <w:uiPriority w:val="99"/>
    <w:unhideWhenUsed/>
    <w:rsid w:val="004D1691"/>
    <w:pPr>
      <w:tabs>
        <w:tab w:val="center" w:pos="4513"/>
        <w:tab w:val="right" w:pos="9026"/>
      </w:tabs>
    </w:pPr>
  </w:style>
  <w:style w:type="character" w:customStyle="1" w:styleId="FooterChar">
    <w:name w:val="Footer Char"/>
    <w:basedOn w:val="DefaultParagraphFont"/>
    <w:link w:val="Footer"/>
    <w:uiPriority w:val="99"/>
    <w:rsid w:val="004D1691"/>
    <w:rPr>
      <w:rFonts w:ascii="Arial" w:eastAsia="Times New Roman" w:hAnsi="Arial" w:cs="Times New Roman"/>
      <w:bCs/>
      <w:sz w:val="24"/>
      <w:szCs w:val="26"/>
    </w:rPr>
  </w:style>
  <w:style w:type="character" w:styleId="Hyperlink">
    <w:name w:val="Hyperlink"/>
    <w:basedOn w:val="DefaultParagraphFont"/>
    <w:uiPriority w:val="99"/>
    <w:unhideWhenUsed/>
    <w:rsid w:val="00A05404"/>
    <w:rPr>
      <w:color w:val="0000FF" w:themeColor="hyperlink"/>
      <w:u w:val="single"/>
    </w:rPr>
  </w:style>
  <w:style w:type="paragraph" w:customStyle="1" w:styleId="Reportcovertitle">
    <w:name w:val="Report cover title"/>
    <w:basedOn w:val="Normal"/>
    <w:qFormat/>
    <w:rsid w:val="00A05404"/>
    <w:pPr>
      <w:spacing w:before="1200"/>
    </w:pPr>
    <w:rPr>
      <w:rFonts w:eastAsiaTheme="minorEastAsia" w:cstheme="minorBidi"/>
      <w:b/>
      <w:bCs w:val="0"/>
      <w:color w:val="A00054"/>
      <w:sz w:val="64"/>
      <w:szCs w:val="72"/>
    </w:rPr>
  </w:style>
  <w:style w:type="paragraph" w:customStyle="1" w:styleId="Reporttitleinheader">
    <w:name w:val="Report title in header"/>
    <w:basedOn w:val="Heading2"/>
    <w:qFormat/>
    <w:rsid w:val="00A05404"/>
    <w:pPr>
      <w:spacing w:before="0" w:after="100" w:afterAutospacing="1"/>
    </w:pPr>
    <w:rPr>
      <w:rFonts w:ascii="Arial" w:hAnsi="Arial"/>
      <w:bCs/>
      <w:color w:val="003893"/>
      <w:sz w:val="48"/>
      <w:szCs w:val="28"/>
    </w:rPr>
  </w:style>
  <w:style w:type="character" w:customStyle="1" w:styleId="Heading2Char">
    <w:name w:val="Heading 2 Char"/>
    <w:basedOn w:val="DefaultParagraphFont"/>
    <w:link w:val="Heading2"/>
    <w:uiPriority w:val="9"/>
    <w:rsid w:val="00A05404"/>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D75A90"/>
    <w:rPr>
      <w:rFonts w:asciiTheme="majorHAnsi" w:eastAsiaTheme="majorEastAsia" w:hAnsiTheme="majorHAnsi" w:cstheme="majorBidi"/>
      <w:b/>
      <w:color w:val="4F81BD" w:themeColor="accent1"/>
      <w:sz w:val="24"/>
      <w:szCs w:val="26"/>
    </w:rPr>
  </w:style>
  <w:style w:type="paragraph" w:styleId="BalloonText">
    <w:name w:val="Balloon Text"/>
    <w:basedOn w:val="Normal"/>
    <w:link w:val="BalloonTextChar"/>
    <w:uiPriority w:val="99"/>
    <w:semiHidden/>
    <w:unhideWhenUsed/>
    <w:rsid w:val="0061336E"/>
    <w:rPr>
      <w:rFonts w:ascii="Tahoma" w:hAnsi="Tahoma" w:cs="Tahoma"/>
      <w:sz w:val="16"/>
      <w:szCs w:val="16"/>
    </w:rPr>
  </w:style>
  <w:style w:type="character" w:customStyle="1" w:styleId="BalloonTextChar">
    <w:name w:val="Balloon Text Char"/>
    <w:basedOn w:val="DefaultParagraphFont"/>
    <w:link w:val="BalloonText"/>
    <w:uiPriority w:val="99"/>
    <w:semiHidden/>
    <w:rsid w:val="0061336E"/>
    <w:rPr>
      <w:rFonts w:ascii="Tahoma" w:eastAsia="Times New Roman" w:hAnsi="Tahoma" w:cs="Tahoma"/>
      <w:bCs/>
      <w:sz w:val="16"/>
      <w:szCs w:val="16"/>
    </w:rPr>
  </w:style>
  <w:style w:type="character" w:customStyle="1" w:styleId="Heading1Char">
    <w:name w:val="Heading 1 Char"/>
    <w:basedOn w:val="DefaultParagraphFont"/>
    <w:link w:val="Heading1"/>
    <w:uiPriority w:val="9"/>
    <w:rsid w:val="00F1146C"/>
    <w:rPr>
      <w:rFonts w:asciiTheme="majorHAnsi" w:eastAsiaTheme="majorEastAsia" w:hAnsiTheme="majorHAnsi" w:cstheme="majorBidi"/>
      <w:b/>
      <w:color w:val="365F91" w:themeColor="accent1" w:themeShade="BF"/>
      <w:sz w:val="28"/>
      <w:szCs w:val="28"/>
    </w:rPr>
  </w:style>
  <w:style w:type="paragraph" w:styleId="TOCHeading">
    <w:name w:val="TOC Heading"/>
    <w:basedOn w:val="Heading1"/>
    <w:next w:val="Normal"/>
    <w:uiPriority w:val="39"/>
    <w:semiHidden/>
    <w:unhideWhenUsed/>
    <w:qFormat/>
    <w:rsid w:val="00F1146C"/>
    <w:pPr>
      <w:spacing w:line="276" w:lineRule="auto"/>
      <w:outlineLvl w:val="9"/>
    </w:pPr>
    <w:rPr>
      <w:bCs/>
      <w:lang w:val="en-US" w:eastAsia="ja-JP"/>
    </w:rPr>
  </w:style>
  <w:style w:type="paragraph" w:styleId="TOC2">
    <w:name w:val="toc 2"/>
    <w:basedOn w:val="Normal"/>
    <w:next w:val="Normal"/>
    <w:autoRedefine/>
    <w:uiPriority w:val="39"/>
    <w:unhideWhenUsed/>
    <w:qFormat/>
    <w:rsid w:val="003334C8"/>
    <w:pPr>
      <w:tabs>
        <w:tab w:val="left" w:pos="880"/>
        <w:tab w:val="right" w:leader="dot" w:pos="9016"/>
      </w:tabs>
      <w:spacing w:after="100" w:line="276" w:lineRule="auto"/>
      <w:ind w:left="284" w:hanging="284"/>
    </w:pPr>
    <w:rPr>
      <w:rFonts w:asciiTheme="minorHAnsi" w:eastAsiaTheme="minorEastAsia" w:hAnsiTheme="minorHAnsi" w:cstheme="minorBidi"/>
      <w:bCs w:val="0"/>
      <w:sz w:val="22"/>
      <w:szCs w:val="22"/>
      <w:lang w:val="en-US" w:eastAsia="ja-JP"/>
    </w:rPr>
  </w:style>
  <w:style w:type="paragraph" w:styleId="TOC1">
    <w:name w:val="toc 1"/>
    <w:basedOn w:val="Normal"/>
    <w:next w:val="Normal"/>
    <w:autoRedefine/>
    <w:uiPriority w:val="39"/>
    <w:unhideWhenUsed/>
    <w:qFormat/>
    <w:rsid w:val="00F1146C"/>
    <w:pPr>
      <w:spacing w:after="100" w:line="276" w:lineRule="auto"/>
    </w:pPr>
    <w:rPr>
      <w:rFonts w:asciiTheme="minorHAnsi" w:eastAsiaTheme="minorEastAsia" w:hAnsiTheme="minorHAnsi" w:cstheme="minorBidi"/>
      <w:bCs w:val="0"/>
      <w:sz w:val="22"/>
      <w:szCs w:val="22"/>
      <w:lang w:val="en-US" w:eastAsia="ja-JP"/>
    </w:rPr>
  </w:style>
  <w:style w:type="paragraph" w:styleId="TOC3">
    <w:name w:val="toc 3"/>
    <w:basedOn w:val="Normal"/>
    <w:next w:val="Normal"/>
    <w:autoRedefine/>
    <w:uiPriority w:val="39"/>
    <w:semiHidden/>
    <w:unhideWhenUsed/>
    <w:qFormat/>
    <w:rsid w:val="00F1146C"/>
    <w:pPr>
      <w:spacing w:after="100" w:line="276" w:lineRule="auto"/>
      <w:ind w:left="440"/>
    </w:pPr>
    <w:rPr>
      <w:rFonts w:asciiTheme="minorHAnsi" w:eastAsiaTheme="minorEastAsia" w:hAnsiTheme="minorHAnsi" w:cstheme="minorBidi"/>
      <w:bCs w:val="0"/>
      <w:sz w:val="22"/>
      <w:szCs w:val="22"/>
      <w:lang w:val="en-US" w:eastAsia="ja-JP"/>
    </w:rPr>
  </w:style>
  <w:style w:type="character" w:customStyle="1" w:styleId="Heading4Char">
    <w:name w:val="Heading 4 Char"/>
    <w:basedOn w:val="DefaultParagraphFont"/>
    <w:link w:val="Heading4"/>
    <w:uiPriority w:val="9"/>
    <w:semiHidden/>
    <w:rsid w:val="00F1146C"/>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F1146C"/>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F1146C"/>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F1146C"/>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F1146C"/>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F1146C"/>
    <w:rPr>
      <w:rFonts w:asciiTheme="majorHAnsi" w:eastAsiaTheme="majorEastAsia" w:hAnsiTheme="majorHAnsi" w:cstheme="majorBidi"/>
      <w:bCs/>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hubs@hee.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6CA70EEB-6818-4751-BD5E-65E93E664EE7@default"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915C-4F1F-4AC8-998C-AE1D7E11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Claxton</dc:creator>
  <cp:lastModifiedBy>Wood Tracy</cp:lastModifiedBy>
  <cp:revision>9</cp:revision>
  <cp:lastPrinted>2017-05-08T07:53:00Z</cp:lastPrinted>
  <dcterms:created xsi:type="dcterms:W3CDTF">2019-04-03T10:32:00Z</dcterms:created>
  <dcterms:modified xsi:type="dcterms:W3CDTF">2020-07-15T09:30:00Z</dcterms:modified>
</cp:coreProperties>
</file>