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5A" w:rsidRPr="00314713" w:rsidRDefault="00981D5A" w:rsidP="00981D5A">
      <w:pPr>
        <w:pStyle w:val="Heading1"/>
        <w:jc w:val="center"/>
        <w:rPr>
          <w:rFonts w:ascii="Arial" w:eastAsia="Arial Unicode MS" w:hAnsi="Arial" w:cs="Arial"/>
          <w:sz w:val="22"/>
          <w:szCs w:val="22"/>
        </w:rPr>
      </w:pPr>
      <w:bookmarkStart w:id="0" w:name="_GoBack"/>
      <w:bookmarkEnd w:id="0"/>
      <w:r w:rsidRPr="00314713">
        <w:rPr>
          <w:rFonts w:ascii="Arial" w:hAnsi="Arial" w:cs="Arial"/>
          <w:sz w:val="22"/>
          <w:szCs w:val="22"/>
        </w:rPr>
        <w:t>OPIOID CONVERSION GUIDANCE</w:t>
      </w:r>
    </w:p>
    <w:p w:rsidR="00981D5A" w:rsidRPr="00314713" w:rsidRDefault="00981D5A" w:rsidP="00981D5A">
      <w:pPr>
        <w:pStyle w:val="Heading1"/>
        <w:rPr>
          <w:rFonts w:ascii="Arial" w:eastAsia="Arial Unicode MS" w:hAnsi="Arial" w:cs="Arial"/>
          <w:sz w:val="22"/>
          <w:szCs w:val="22"/>
        </w:rPr>
      </w:pPr>
      <w:r w:rsidRPr="00314713">
        <w:rPr>
          <w:rFonts w:ascii="Arial" w:hAnsi="Arial" w:cs="Arial"/>
          <w:sz w:val="22"/>
          <w:szCs w:val="22"/>
        </w:rPr>
        <w:t>Basic principles</w:t>
      </w:r>
    </w:p>
    <w:p w:rsidR="00981D5A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7E5FB174">
        <w:rPr>
          <w:rFonts w:ascii="Arial" w:hAnsi="Arial" w:cs="Arial"/>
          <w:sz w:val="22"/>
          <w:szCs w:val="22"/>
        </w:rPr>
        <w:t>The “Gold Standard” and NICE recommended (CG140, May 2012) opioid for the management of severe pain is morphine sulphate (or parenteral morphine sulphate for patients unable to take oral medication).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00314713">
        <w:rPr>
          <w:rFonts w:ascii="Arial" w:hAnsi="Arial" w:cs="Arial"/>
          <w:sz w:val="22"/>
          <w:szCs w:val="22"/>
        </w:rPr>
        <w:t xml:space="preserve">Patients receiving regular opioids should always be prescribed breakthrough medication at a dose appropriate for their daily requirement.  </w:t>
      </w:r>
    </w:p>
    <w:p w:rsidR="00981D5A" w:rsidRPr="00314713" w:rsidRDefault="00981D5A" w:rsidP="00981D5A">
      <w:pPr>
        <w:rPr>
          <w:rFonts w:ascii="Arial" w:hAnsi="Arial" w:cs="Arial"/>
          <w:sz w:val="22"/>
          <w:szCs w:val="22"/>
        </w:rPr>
      </w:pP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00314713">
        <w:rPr>
          <w:rFonts w:ascii="Arial" w:hAnsi="Arial" w:cs="Arial"/>
          <w:sz w:val="22"/>
          <w:szCs w:val="22"/>
        </w:rPr>
        <w:t>Generally a breakthrough dose will be 1/6</w:t>
      </w:r>
      <w:r w:rsidRPr="00314713">
        <w:rPr>
          <w:rFonts w:ascii="Arial" w:hAnsi="Arial" w:cs="Arial"/>
          <w:sz w:val="22"/>
          <w:szCs w:val="22"/>
          <w:vertAlign w:val="superscript"/>
        </w:rPr>
        <w:t>th</w:t>
      </w:r>
      <w:r w:rsidRPr="00314713">
        <w:rPr>
          <w:rFonts w:ascii="Arial" w:hAnsi="Arial" w:cs="Arial"/>
          <w:sz w:val="22"/>
          <w:szCs w:val="22"/>
        </w:rPr>
        <w:t xml:space="preserve"> of the total daily dose.  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00314713">
        <w:rPr>
          <w:rFonts w:ascii="Arial" w:hAnsi="Arial" w:cs="Arial"/>
          <w:sz w:val="22"/>
          <w:szCs w:val="22"/>
        </w:rPr>
        <w:t>Parenteral opioids are between 2 and 3 times the potency of oral opioids.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7E5FB174">
        <w:rPr>
          <w:rFonts w:ascii="Arial" w:hAnsi="Arial" w:cs="Arial"/>
          <w:sz w:val="22"/>
          <w:szCs w:val="22"/>
        </w:rPr>
        <w:t xml:space="preserve">An opioid switch may be indicated, e.g., morphine side-effects which do not respond to appropriate management, and renal impairment.  </w:t>
      </w:r>
    </w:p>
    <w:p w:rsidR="00981D5A" w:rsidRDefault="00981D5A" w:rsidP="00981D5A">
      <w:pPr>
        <w:ind w:left="360"/>
        <w:rPr>
          <w:rFonts w:ascii="Arial" w:hAnsi="Arial" w:cs="Arial"/>
          <w:b/>
          <w:sz w:val="22"/>
          <w:szCs w:val="22"/>
        </w:rPr>
      </w:pPr>
    </w:p>
    <w:p w:rsidR="00981D5A" w:rsidRPr="00314713" w:rsidRDefault="00981D5A" w:rsidP="00981D5A">
      <w:pPr>
        <w:rPr>
          <w:rFonts w:ascii="Arial" w:hAnsi="Arial" w:cs="Arial"/>
          <w:b/>
          <w:sz w:val="22"/>
          <w:szCs w:val="22"/>
        </w:rPr>
      </w:pPr>
      <w:r w:rsidRPr="00314713">
        <w:rPr>
          <w:rFonts w:ascii="Arial" w:hAnsi="Arial" w:cs="Arial"/>
          <w:b/>
          <w:sz w:val="22"/>
          <w:szCs w:val="22"/>
        </w:rPr>
        <w:t>Use of alternative opioids</w:t>
      </w:r>
    </w:p>
    <w:p w:rsidR="00981D5A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7E5FB174">
        <w:rPr>
          <w:rFonts w:ascii="Arial" w:hAnsi="Arial" w:cs="Arial"/>
          <w:sz w:val="22"/>
          <w:szCs w:val="22"/>
        </w:rPr>
        <w:t xml:space="preserve">Renal impairment is likely to increase drug toxicity from morphine due to accumulation of active metabolites of these drugs.  </w:t>
      </w:r>
    </w:p>
    <w:p w:rsidR="00981D5A" w:rsidRDefault="00981D5A" w:rsidP="00981D5A">
      <w:pPr>
        <w:ind w:left="360"/>
        <w:rPr>
          <w:rFonts w:ascii="Arial" w:hAnsi="Arial" w:cs="Arial"/>
          <w:sz w:val="22"/>
          <w:szCs w:val="22"/>
        </w:rPr>
      </w:pP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Patients taking opioid medication who develop renal impairment may require a dose reduction.  Advice should be sought from the </w:t>
      </w:r>
      <w:r w:rsidRPr="00314713">
        <w:rPr>
          <w:rFonts w:ascii="Arial" w:hAnsi="Arial" w:cs="Arial"/>
          <w:sz w:val="22"/>
          <w:szCs w:val="22"/>
        </w:rPr>
        <w:t>Specialist Palliative Care</w:t>
      </w:r>
      <w:r>
        <w:rPr>
          <w:rFonts w:ascii="Arial" w:hAnsi="Arial" w:cs="Arial"/>
          <w:sz w:val="22"/>
          <w:szCs w:val="22"/>
        </w:rPr>
        <w:t xml:space="preserve"> Team (SPCT) or Pharmacy.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</w:p>
    <w:p w:rsidR="00981D5A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7E5FB174">
        <w:rPr>
          <w:rFonts w:ascii="Arial" w:hAnsi="Arial" w:cs="Arial"/>
          <w:sz w:val="22"/>
          <w:szCs w:val="22"/>
        </w:rPr>
        <w:t xml:space="preserve">Morphine should not be used if the patient’s eGFR is &lt;40 and an opioid switch to oxycodone is recommended, unless renal impairment and morphine dose is stable and there is no evidence of adverse effects  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00314713">
        <w:rPr>
          <w:rFonts w:ascii="Arial" w:hAnsi="Arial" w:cs="Arial"/>
          <w:sz w:val="22"/>
          <w:szCs w:val="22"/>
        </w:rPr>
        <w:t>At even lower levels of eGFR (&lt;15</w:t>
      </w:r>
      <w:r>
        <w:rPr>
          <w:rFonts w:ascii="Arial" w:hAnsi="Arial" w:cs="Arial"/>
          <w:sz w:val="22"/>
          <w:szCs w:val="22"/>
        </w:rPr>
        <w:t>)</w:t>
      </w:r>
      <w:r w:rsidRPr="00314713">
        <w:rPr>
          <w:rFonts w:ascii="Arial" w:hAnsi="Arial" w:cs="Arial"/>
          <w:sz w:val="22"/>
          <w:szCs w:val="22"/>
        </w:rPr>
        <w:t>, oxycodone may not be tolerate</w:t>
      </w:r>
      <w:r>
        <w:rPr>
          <w:rFonts w:ascii="Arial" w:hAnsi="Arial" w:cs="Arial"/>
          <w:sz w:val="22"/>
          <w:szCs w:val="22"/>
        </w:rPr>
        <w:t>d and the use of alfentanil would</w:t>
      </w:r>
      <w:r w:rsidRPr="00314713">
        <w:rPr>
          <w:rFonts w:ascii="Arial" w:hAnsi="Arial" w:cs="Arial"/>
          <w:sz w:val="22"/>
          <w:szCs w:val="22"/>
        </w:rPr>
        <w:t xml:space="preserve"> be indicated: always discuss this with the</w:t>
      </w:r>
      <w:r>
        <w:rPr>
          <w:rFonts w:ascii="Arial" w:hAnsi="Arial" w:cs="Arial"/>
          <w:sz w:val="22"/>
          <w:szCs w:val="22"/>
        </w:rPr>
        <w:t xml:space="preserve"> SPCT</w:t>
      </w:r>
      <w:r w:rsidRPr="00314713">
        <w:rPr>
          <w:rFonts w:ascii="Arial" w:hAnsi="Arial" w:cs="Arial"/>
          <w:sz w:val="22"/>
          <w:szCs w:val="22"/>
        </w:rPr>
        <w:t xml:space="preserve">.  </w:t>
      </w:r>
    </w:p>
    <w:p w:rsidR="00981D5A" w:rsidRDefault="00981D5A" w:rsidP="00981D5A">
      <w:pPr>
        <w:rPr>
          <w:rFonts w:ascii="Arial" w:hAnsi="Arial" w:cs="Arial"/>
          <w:b/>
          <w:sz w:val="22"/>
          <w:szCs w:val="22"/>
        </w:rPr>
      </w:pPr>
    </w:p>
    <w:p w:rsidR="00981D5A" w:rsidRPr="00314713" w:rsidRDefault="00981D5A" w:rsidP="00981D5A">
      <w:pPr>
        <w:rPr>
          <w:rFonts w:ascii="Arial" w:hAnsi="Arial" w:cs="Arial"/>
          <w:b/>
          <w:sz w:val="22"/>
          <w:szCs w:val="22"/>
        </w:rPr>
      </w:pPr>
      <w:r w:rsidRPr="00314713">
        <w:rPr>
          <w:rFonts w:ascii="Arial" w:hAnsi="Arial" w:cs="Arial"/>
          <w:b/>
          <w:sz w:val="22"/>
          <w:szCs w:val="22"/>
        </w:rPr>
        <w:t>Us</w:t>
      </w:r>
      <w:r>
        <w:rPr>
          <w:rFonts w:ascii="Arial" w:hAnsi="Arial" w:cs="Arial"/>
          <w:b/>
          <w:sz w:val="22"/>
          <w:szCs w:val="22"/>
        </w:rPr>
        <w:t>e of opioids in the dying patient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00314713">
        <w:rPr>
          <w:rFonts w:ascii="Arial" w:hAnsi="Arial" w:cs="Arial"/>
          <w:sz w:val="22"/>
          <w:szCs w:val="22"/>
        </w:rPr>
        <w:t>In the terminal phase</w:t>
      </w:r>
      <w:r>
        <w:rPr>
          <w:rFonts w:ascii="Arial" w:hAnsi="Arial" w:cs="Arial"/>
          <w:sz w:val="22"/>
          <w:szCs w:val="22"/>
        </w:rPr>
        <w:t>, renal impairment, hypoalbumina</w:t>
      </w:r>
      <w:r w:rsidRPr="00314713">
        <w:rPr>
          <w:rFonts w:ascii="Arial" w:hAnsi="Arial" w:cs="Arial"/>
          <w:sz w:val="22"/>
          <w:szCs w:val="22"/>
        </w:rPr>
        <w:t>emia and an increase in the permeability of th</w:t>
      </w:r>
      <w:r>
        <w:rPr>
          <w:rFonts w:ascii="Arial" w:hAnsi="Arial" w:cs="Arial"/>
          <w:sz w:val="22"/>
          <w:szCs w:val="22"/>
        </w:rPr>
        <w:t>e blood/brain barrier will all a</w:t>
      </w:r>
      <w:r w:rsidRPr="00314713">
        <w:rPr>
          <w:rFonts w:ascii="Arial" w:hAnsi="Arial" w:cs="Arial"/>
          <w:sz w:val="22"/>
          <w:szCs w:val="22"/>
        </w:rPr>
        <w:t xml:space="preserve">ffect drug pharmacokinetics and may lead to toxicity.  Extreme caution is needed when calculating breakthrough doses of opioids for patients receiving transdermal fentanyl at the end of life.  </w:t>
      </w:r>
    </w:p>
    <w:p w:rsidR="00981D5A" w:rsidRPr="00314713" w:rsidRDefault="00981D5A" w:rsidP="00981D5A">
      <w:pPr>
        <w:ind w:left="360"/>
        <w:rPr>
          <w:rFonts w:ascii="Arial" w:hAnsi="Arial" w:cs="Arial"/>
          <w:sz w:val="22"/>
          <w:szCs w:val="22"/>
        </w:rPr>
      </w:pPr>
    </w:p>
    <w:p w:rsidR="00981D5A" w:rsidRDefault="00981D5A" w:rsidP="00981D5A">
      <w:pPr>
        <w:ind w:left="360"/>
        <w:rPr>
          <w:rFonts w:ascii="Arial" w:hAnsi="Arial" w:cs="Arial"/>
          <w:sz w:val="22"/>
          <w:szCs w:val="22"/>
        </w:rPr>
      </w:pPr>
      <w:r w:rsidRPr="0067784D">
        <w:rPr>
          <w:rFonts w:ascii="Arial" w:hAnsi="Arial" w:cs="Arial"/>
          <w:sz w:val="22"/>
          <w:szCs w:val="22"/>
        </w:rPr>
        <w:t>Attached is a table with guidance for suggested breakthrough doses for existing background requirements</w:t>
      </w:r>
      <w:r w:rsidRPr="00314713">
        <w:rPr>
          <w:rFonts w:ascii="Arial" w:hAnsi="Arial" w:cs="Arial"/>
          <w:sz w:val="22"/>
          <w:szCs w:val="22"/>
        </w:rPr>
        <w:t xml:space="preserve">.  </w:t>
      </w:r>
    </w:p>
    <w:p w:rsidR="00981D5A" w:rsidRDefault="00981D5A" w:rsidP="00981D5A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981D5A" w:rsidRDefault="00981D5A" w:rsidP="00981D5A">
      <w:pPr>
        <w:rPr>
          <w:rFonts w:ascii="Arial" w:hAnsi="Arial" w:cs="Arial"/>
          <w:sz w:val="22"/>
          <w:szCs w:val="22"/>
        </w:rPr>
      </w:pPr>
    </w:p>
    <w:p w:rsidR="00981D5A" w:rsidRPr="00831FE6" w:rsidRDefault="00981D5A" w:rsidP="00981D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31FE6">
        <w:rPr>
          <w:rFonts w:ascii="Arial" w:hAnsi="Arial" w:cs="Arial"/>
          <w:b/>
          <w:sz w:val="22"/>
          <w:szCs w:val="22"/>
        </w:rPr>
        <w:t>Advice is available from the Specialist Palliative Care Team at Huddersfield Royal Infirmary ext 2965, or from Pharmacy</w:t>
      </w:r>
    </w:p>
    <w:p w:rsidR="00981D5A" w:rsidRDefault="00981D5A" w:rsidP="00981D5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31FE6">
        <w:rPr>
          <w:rFonts w:ascii="Arial" w:hAnsi="Arial" w:cs="Arial"/>
          <w:b/>
          <w:sz w:val="22"/>
          <w:szCs w:val="22"/>
        </w:rPr>
        <w:t>Out-of-hours’ palliative medicine advice is available through switchboard or Kirkwood or Overgate Hospices.</w:t>
      </w:r>
    </w:p>
    <w:p w:rsidR="00941820" w:rsidRPr="004C3D49" w:rsidRDefault="00941820" w:rsidP="00941820">
      <w:pPr>
        <w:jc w:val="center"/>
        <w:rPr>
          <w:rFonts w:ascii="Arial" w:hAnsi="Arial" w:cs="Arial"/>
          <w:b/>
          <w:sz w:val="22"/>
          <w:szCs w:val="22"/>
        </w:rPr>
      </w:pPr>
      <w:r w:rsidRPr="004C3D49">
        <w:rPr>
          <w:rFonts w:ascii="Arial" w:hAnsi="Arial" w:cs="Arial"/>
          <w:b/>
          <w:sz w:val="22"/>
          <w:szCs w:val="22"/>
        </w:rPr>
        <w:lastRenderedPageBreak/>
        <w:t>CONVERSION TABLE FOR COMMON ORAL, SUBCUTANEOUS AND PATCH PREPARATIONS</w:t>
      </w:r>
    </w:p>
    <w:tbl>
      <w:tblPr>
        <w:tblpPr w:leftFromText="180" w:rightFromText="180" w:vertAnchor="page" w:horzAnchor="margin" w:tblpXSpec="center" w:tblpY="2191"/>
        <w:tblW w:w="15892" w:type="dxa"/>
        <w:tblLayout w:type="fixed"/>
        <w:tblLook w:val="04A0" w:firstRow="1" w:lastRow="0" w:firstColumn="1" w:lastColumn="0" w:noHBand="0" w:noVBand="1"/>
      </w:tblPr>
      <w:tblGrid>
        <w:gridCol w:w="851"/>
        <w:gridCol w:w="1127"/>
        <w:gridCol w:w="965"/>
        <w:gridCol w:w="993"/>
        <w:gridCol w:w="992"/>
        <w:gridCol w:w="850"/>
        <w:gridCol w:w="993"/>
        <w:gridCol w:w="992"/>
        <w:gridCol w:w="992"/>
        <w:gridCol w:w="992"/>
        <w:gridCol w:w="1134"/>
        <w:gridCol w:w="1276"/>
        <w:gridCol w:w="1815"/>
        <w:gridCol w:w="1920"/>
      </w:tblGrid>
      <w:tr w:rsidR="001470B3" w:rsidRPr="00CF5394" w:rsidTr="001470B3">
        <w:trPr>
          <w:trHeight w:val="300"/>
        </w:trPr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Morphine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Oxyc</w:t>
            </w: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odone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7E5FB174">
              <w:rPr>
                <w:rFonts w:ascii="Arial" w:hAnsi="Arial" w:cs="Arial"/>
                <w:b/>
                <w:color w:val="000000" w:themeColor="text1"/>
                <w:sz w:val="20"/>
                <w:lang w:eastAsia="en-GB"/>
              </w:rPr>
              <w:t>Morphine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Diamorphine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Oxycodone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Fentanyl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Alfentanil</w:t>
            </w:r>
          </w:p>
        </w:tc>
      </w:tr>
      <w:tr w:rsidR="001470B3" w:rsidRPr="00CF5394" w:rsidTr="001470B3">
        <w:trPr>
          <w:trHeight w:val="315"/>
        </w:trPr>
        <w:tc>
          <w:tcPr>
            <w:tcW w:w="294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Oral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Oral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Subcutaneous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Subcutaneous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Subcutaneous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Transdermal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Subcutaneous</w:t>
            </w:r>
          </w:p>
        </w:tc>
      </w:tr>
      <w:tr w:rsidR="001470B3" w:rsidRPr="00CF5394" w:rsidTr="001470B3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4hr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12hr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24hr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4hr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12hr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24hr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4hr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24hr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4hr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24hr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4hr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24hr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Patch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24hr</w:t>
            </w:r>
          </w:p>
        </w:tc>
      </w:tr>
      <w:tr w:rsidR="001470B3" w:rsidRPr="00CF5394" w:rsidTr="001470B3">
        <w:trPr>
          <w:trHeight w:val="88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M</w:t>
            </w: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R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total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Default="001470B3" w:rsidP="001470B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MR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  <w:r w:rsidRPr="00CF539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total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total 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total 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color w:val="000000"/>
                <w:sz w:val="20"/>
                <w:lang w:eastAsia="en-GB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total dose 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Strength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 (m</w:t>
            </w: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i</w:t>
            </w: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ro</w:t>
            </w: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g</w:t>
            </w: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ram/hr</w:t>
            </w: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)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total </w:t>
            </w:r>
          </w:p>
          <w:p w:rsidR="001470B3" w:rsidRPr="00CF5394" w:rsidRDefault="001470B3" w:rsidP="001470B3">
            <w:pPr>
              <w:contextualSpacing/>
              <w:jc w:val="center"/>
              <w:rPr>
                <w:rFonts w:ascii="Arial" w:hAnsi="Arial" w:cs="Arial"/>
                <w:b/>
                <w:bCs w:val="0"/>
                <w:color w:val="000000"/>
                <w:sz w:val="20"/>
              </w:rPr>
            </w:pP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dose</w:t>
            </w:r>
            <w:r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b/>
                <w:color w:val="000000"/>
                <w:sz w:val="20"/>
                <w:lang w:eastAsia="en-GB"/>
              </w:rPr>
              <w:t>(mg)</w:t>
            </w:r>
          </w:p>
        </w:tc>
      </w:tr>
      <w:tr w:rsidR="001470B3" w:rsidRPr="00CF5394" w:rsidTr="001470B3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2.5</w:t>
            </w: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</w:rPr>
              <w:t>1.5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</w:rPr>
              <w:t>1.5-2.5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7.5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5</w:t>
            </w:r>
          </w:p>
        </w:tc>
        <w:tc>
          <w:tcPr>
            <w:tcW w:w="1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</w:rPr>
              <w:t>-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0.5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(MST)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B407DB">
              <w:rPr>
                <w:rFonts w:ascii="Arial" w:hAnsi="Arial" w:cs="Arial"/>
                <w:sz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1.5-2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7.5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2.5-5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 mcg*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7.5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7.5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45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2.5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25 mcg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5-7.5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37 mcg*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50 mcg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10-15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75 mcg*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8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15-20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75 mcg*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90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100 mcg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70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20-25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125 mcg*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14</w:t>
            </w:r>
          </w:p>
        </w:tc>
      </w:tr>
      <w:tr w:rsidR="001470B3" w:rsidRPr="00CF5394" w:rsidTr="001470B3">
        <w:trPr>
          <w:trHeight w:val="31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7E5FB174">
              <w:rPr>
                <w:rFonts w:ascii="Arial" w:hAnsi="Arial" w:cs="Arial"/>
                <w:color w:val="000000" w:themeColor="text1"/>
                <w:sz w:val="20"/>
                <w:lang w:eastAsia="en-GB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25-30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160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EFF5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125 mcg*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1FFF0"/>
            <w:vAlign w:val="center"/>
            <w:hideMark/>
          </w:tcPr>
          <w:p w:rsidR="001470B3" w:rsidRPr="00CF5394" w:rsidRDefault="001470B3" w:rsidP="001470B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F5394">
              <w:rPr>
                <w:rFonts w:ascii="Arial" w:hAnsi="Arial" w:cs="Arial"/>
                <w:color w:val="000000"/>
                <w:sz w:val="20"/>
                <w:lang w:eastAsia="en-GB"/>
              </w:rPr>
              <w:t>16</w:t>
            </w:r>
          </w:p>
        </w:tc>
      </w:tr>
    </w:tbl>
    <w:p w:rsidR="00941820" w:rsidRDefault="00941820" w:rsidP="00941820"/>
    <w:p w:rsidR="00981D5A" w:rsidRDefault="00981D5A"/>
    <w:sectPr w:rsidR="00981D5A" w:rsidSect="00981D5A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5A" w:rsidRDefault="00981D5A" w:rsidP="00981D5A">
      <w:r>
        <w:separator/>
      </w:r>
    </w:p>
  </w:endnote>
  <w:endnote w:type="continuationSeparator" w:id="0">
    <w:p w:rsidR="00981D5A" w:rsidRDefault="00981D5A" w:rsidP="0098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42"/>
      <w:gridCol w:w="3546"/>
      <w:gridCol w:w="3545"/>
      <w:gridCol w:w="3541"/>
    </w:tblGrid>
    <w:tr w:rsidR="00981D5A" w:rsidTr="00981D5A"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Author</w:t>
          </w:r>
        </w:p>
      </w:tc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="Cambria" w:hAnsi="Cambria"/>
              <w:sz w:val="18"/>
              <w:szCs w:val="18"/>
            </w:rPr>
            <w:t>Dr Stephen Oxberry, Consultant in Palliative Medicine, Kirkwood Hospice</w:t>
          </w:r>
        </w:p>
      </w:tc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Date approved at MMC</w:t>
          </w:r>
        </w:p>
      </w:tc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March 2020</w:t>
          </w:r>
        </w:p>
      </w:tc>
    </w:tr>
    <w:tr w:rsidR="00981D5A" w:rsidTr="00981D5A"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Version</w:t>
          </w:r>
        </w:p>
      </w:tc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2</w:t>
          </w:r>
        </w:p>
      </w:tc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Review date</w:t>
          </w:r>
        </w:p>
      </w:tc>
      <w:tc>
        <w:tcPr>
          <w:tcW w:w="3583" w:type="dxa"/>
        </w:tcPr>
        <w:p w:rsidR="00981D5A" w:rsidRPr="00EA15FA" w:rsidRDefault="00981D5A" w:rsidP="00981D5A">
          <w:pPr>
            <w:pStyle w:val="Footer"/>
            <w:tabs>
              <w:tab w:val="right" w:pos="14116"/>
            </w:tabs>
            <w:rPr>
              <w:rFonts w:asciiTheme="majorHAnsi" w:eastAsiaTheme="majorEastAsia" w:hAnsiTheme="majorHAnsi" w:cstheme="majorBidi"/>
              <w:sz w:val="18"/>
              <w:szCs w:val="18"/>
            </w:rPr>
          </w:pPr>
          <w:r w:rsidRPr="00EA15FA">
            <w:rPr>
              <w:rFonts w:asciiTheme="majorHAnsi" w:eastAsiaTheme="majorEastAsia" w:hAnsiTheme="majorHAnsi" w:cstheme="majorBidi"/>
              <w:sz w:val="18"/>
              <w:szCs w:val="18"/>
            </w:rPr>
            <w:t>March 2022</w:t>
          </w:r>
        </w:p>
      </w:tc>
    </w:tr>
  </w:tbl>
  <w:p w:rsidR="00981D5A" w:rsidRDefault="0098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5A" w:rsidRDefault="00981D5A" w:rsidP="00981D5A">
      <w:r>
        <w:separator/>
      </w:r>
    </w:p>
  </w:footnote>
  <w:footnote w:type="continuationSeparator" w:id="0">
    <w:p w:rsidR="00981D5A" w:rsidRDefault="00981D5A" w:rsidP="0098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5A" w:rsidRDefault="00981D5A" w:rsidP="00981D5A">
    <w:pPr>
      <w:pStyle w:val="Header"/>
      <w:jc w:val="right"/>
    </w:pPr>
    <w:r>
      <w:rPr>
        <w:noProof/>
        <w:color w:val="1F497D"/>
        <w:lang w:val="en-US"/>
      </w:rPr>
      <w:drawing>
        <wp:inline distT="0" distB="0" distL="0" distR="0" wp14:anchorId="34322F89" wp14:editId="04566960">
          <wp:extent cx="1476375" cy="480079"/>
          <wp:effectExtent l="0" t="0" r="0" b="0"/>
          <wp:docPr id="2" name="Picture 2" descr="cid:image001.jpg@01D29BF4.E0090A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9BF4.E0090A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63" cy="48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D5A"/>
    <w:rsid w:val="001470B3"/>
    <w:rsid w:val="002D00C7"/>
    <w:rsid w:val="007A627B"/>
    <w:rsid w:val="008361E3"/>
    <w:rsid w:val="00941820"/>
    <w:rsid w:val="00981D5A"/>
    <w:rsid w:val="00A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ootlight MT Light" w:eastAsia="Times New Roman" w:hAnsi="Footlight MT Light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1D5A"/>
    <w:pPr>
      <w:keepNext/>
      <w:outlineLvl w:val="0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D5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5A"/>
    <w:rPr>
      <w:rFonts w:ascii="Footlight MT Light" w:eastAsia="Times New Roman" w:hAnsi="Footlight MT Light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5A"/>
    <w:rPr>
      <w:rFonts w:ascii="Footlight MT Light" w:eastAsia="Times New Roman" w:hAnsi="Footlight MT Light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98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A"/>
    <w:rPr>
      <w:rFonts w:ascii="Tahoma" w:eastAsia="Times New Roman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D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ootlight MT Light" w:eastAsia="Times New Roman" w:hAnsi="Footlight MT Light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81D5A"/>
    <w:pPr>
      <w:keepNext/>
      <w:outlineLvl w:val="0"/>
    </w:pPr>
    <w:rPr>
      <w:rFonts w:ascii="Times New Roman" w:hAnsi="Times New Roman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1D5A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1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D5A"/>
    <w:rPr>
      <w:rFonts w:ascii="Footlight MT Light" w:eastAsia="Times New Roman" w:hAnsi="Footlight MT Light" w:cs="Times New Roman"/>
      <w:bC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81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D5A"/>
    <w:rPr>
      <w:rFonts w:ascii="Footlight MT Light" w:eastAsia="Times New Roman" w:hAnsi="Footlight MT Light" w:cs="Times New Roman"/>
      <w:bCs/>
      <w:sz w:val="24"/>
      <w:szCs w:val="20"/>
    </w:rPr>
  </w:style>
  <w:style w:type="table" w:styleId="TableGrid">
    <w:name w:val="Table Grid"/>
    <w:basedOn w:val="TableNormal"/>
    <w:uiPriority w:val="59"/>
    <w:rsid w:val="0098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5A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9BF4.E0090A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E77A81D9</Template>
  <TotalTime>0</TotalTime>
  <Pages>2</Pages>
  <Words>471</Words>
  <Characters>2686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&amp; Huddersfield Foundation Trust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andrew.walker3</dc:creator>
  <cp:lastModifiedBy>Stephen Oxberry</cp:lastModifiedBy>
  <cp:revision>2</cp:revision>
  <dcterms:created xsi:type="dcterms:W3CDTF">2020-03-27T16:49:00Z</dcterms:created>
  <dcterms:modified xsi:type="dcterms:W3CDTF">2020-03-27T16:49:00Z</dcterms:modified>
</cp:coreProperties>
</file>