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CB" w:rsidRDefault="00726ACB" w:rsidP="00726ACB">
      <w:pPr>
        <w:rPr>
          <w:rFonts w:ascii="Calibri" w:hAnsi="Calibri" w:cs="Calibri"/>
          <w:b/>
          <w:color w:val="1F497D"/>
          <w:sz w:val="22"/>
          <w:szCs w:val="22"/>
          <w:u w:val="single"/>
        </w:rPr>
      </w:pPr>
      <w:r w:rsidRPr="00726ACB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Guidance on stopping vitamin B12 patients during </w:t>
      </w:r>
      <w:r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the </w:t>
      </w:r>
      <w:proofErr w:type="spellStart"/>
      <w:r w:rsidRPr="00726ACB">
        <w:rPr>
          <w:rFonts w:ascii="Calibri" w:hAnsi="Calibri" w:cs="Calibri"/>
          <w:b/>
          <w:color w:val="1F497D"/>
          <w:sz w:val="22"/>
          <w:szCs w:val="22"/>
          <w:u w:val="single"/>
        </w:rPr>
        <w:t>Covid</w:t>
      </w:r>
      <w:proofErr w:type="spellEnd"/>
      <w:r w:rsidRPr="00726ACB">
        <w:rPr>
          <w:rFonts w:ascii="Calibri" w:hAnsi="Calibri" w:cs="Calibri"/>
          <w:b/>
          <w:color w:val="1F497D"/>
          <w:sz w:val="22"/>
          <w:szCs w:val="22"/>
          <w:u w:val="single"/>
        </w:rPr>
        <w:t xml:space="preserve"> pandemic</w:t>
      </w:r>
    </w:p>
    <w:p w:rsidR="00726ACB" w:rsidRPr="00726ACB" w:rsidRDefault="00726ACB" w:rsidP="00726ACB">
      <w:pPr>
        <w:rPr>
          <w:rFonts w:ascii="Calibri" w:hAnsi="Calibri" w:cs="Calibri"/>
          <w:b/>
          <w:color w:val="1F497D"/>
          <w:sz w:val="22"/>
          <w:szCs w:val="22"/>
          <w:u w:val="single"/>
        </w:rPr>
      </w:pPr>
    </w:p>
    <w:p w:rsid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</w:p>
    <w:p w:rsid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CHFT Haematologist Dr Oo has approved the following guidance:</w:t>
      </w:r>
    </w:p>
    <w:p w:rsidR="00726ACB" w:rsidRPr="00726ACB" w:rsidRDefault="00726ACB" w:rsidP="00726ACB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726ACB" w:rsidRDefault="00726ACB" w:rsidP="00726ACB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Continue injections for patients with megaloblastic anaemia, neurological symptoms, poor absorption such as previous partial gastrectomy, pernicious anaemia  (these will be routine essential injections)</w:t>
      </w:r>
    </w:p>
    <w:p w:rsid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</w:p>
    <w:p w:rsidR="00726ACB" w:rsidRDefault="00726ACB" w:rsidP="00726ACB">
      <w:pPr>
        <w:pStyle w:val="ListParagraph"/>
        <w:numPr>
          <w:ilvl w:val="0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For o</w:t>
      </w:r>
      <w:r>
        <w:rPr>
          <w:rFonts w:ascii="Calibri" w:hAnsi="Calibri" w:cs="Calibri"/>
          <w:color w:val="1F497D"/>
          <w:sz w:val="22"/>
          <w:szCs w:val="22"/>
        </w:rPr>
        <w:t xml:space="preserve">ther patients (not in higher risk group above) who </w:t>
      </w:r>
      <w:r>
        <w:rPr>
          <w:rFonts w:ascii="Calibri" w:hAnsi="Calibri" w:cs="Calibri"/>
          <w:color w:val="1F497D"/>
          <w:sz w:val="22"/>
          <w:szCs w:val="22"/>
        </w:rPr>
        <w:t>have been on long term vitamin B</w:t>
      </w:r>
      <w:r>
        <w:rPr>
          <w:rFonts w:ascii="Calibri" w:hAnsi="Calibri" w:cs="Calibri"/>
          <w:color w:val="1F497D"/>
          <w:sz w:val="22"/>
          <w:szCs w:val="22"/>
        </w:rPr>
        <w:t xml:space="preserve">12 </w:t>
      </w:r>
      <w:r>
        <w:rPr>
          <w:rFonts w:ascii="Calibri" w:hAnsi="Calibri" w:cs="Calibri"/>
          <w:color w:val="1F497D"/>
          <w:sz w:val="22"/>
          <w:szCs w:val="22"/>
        </w:rPr>
        <w:t xml:space="preserve">the </w:t>
      </w:r>
      <w:r>
        <w:rPr>
          <w:rFonts w:ascii="Calibri" w:hAnsi="Calibri" w:cs="Calibri"/>
          <w:color w:val="1F497D"/>
          <w:sz w:val="22"/>
          <w:szCs w:val="22"/>
        </w:rPr>
        <w:t>options are:</w:t>
      </w:r>
    </w:p>
    <w:p w:rsid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</w:p>
    <w:p w:rsidR="00726ACB" w:rsidRDefault="00726ACB" w:rsidP="00726ACB">
      <w:pPr>
        <w:pStyle w:val="ListParagraph"/>
        <w:numPr>
          <w:ilvl w:val="2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Extend interval between injections longer than 3 months</w:t>
      </w:r>
    </w:p>
    <w:p w:rsidR="00726ACB" w:rsidRDefault="00726ACB" w:rsidP="00726ACB">
      <w:pPr>
        <w:pStyle w:val="ListParagraph"/>
        <w:ind w:left="2160"/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Or</w:t>
      </w:r>
    </w:p>
    <w:p w:rsidR="00726ACB" w:rsidRDefault="00726ACB" w:rsidP="00726ACB">
      <w:pPr>
        <w:pStyle w:val="ListParagraph"/>
        <w:numPr>
          <w:ilvl w:val="2"/>
          <w:numId w:val="1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Vitamin B</w:t>
      </w:r>
      <w:r>
        <w:rPr>
          <w:rFonts w:ascii="Calibri" w:hAnsi="Calibri" w:cs="Calibri"/>
          <w:color w:val="1F497D"/>
          <w:sz w:val="22"/>
          <w:szCs w:val="22"/>
        </w:rPr>
        <w:t>12 150mcg a day</w:t>
      </w:r>
    </w:p>
    <w:p w:rsid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</w:p>
    <w:p w:rsidR="009534B8" w:rsidRPr="00726ACB" w:rsidRDefault="00726ACB" w:rsidP="00726ACB">
      <w:pPr>
        <w:pStyle w:val="ListParagraph"/>
        <w:numPr>
          <w:ilvl w:val="0"/>
          <w:numId w:val="3"/>
        </w:numPr>
      </w:pPr>
      <w:r w:rsidRPr="00726ACB">
        <w:rPr>
          <w:rFonts w:ascii="Calibri" w:hAnsi="Calibri" w:cs="Calibri"/>
          <w:color w:val="1F497D"/>
          <w:sz w:val="22"/>
          <w:szCs w:val="22"/>
        </w:rPr>
        <w:t>New patients (not in high risk group above)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vitamin B12</w:t>
      </w:r>
      <w:r w:rsidRPr="00726ACB">
        <w:rPr>
          <w:rFonts w:ascii="Calibri" w:hAnsi="Calibri" w:cs="Calibri"/>
          <w:color w:val="1F497D"/>
          <w:sz w:val="22"/>
          <w:szCs w:val="22"/>
        </w:rPr>
        <w:t xml:space="preserve"> 1mg oral per day. Note these are unlicensed products and will be food supplement not medicinal grade. Encourage patients to buy themselves as cost </w:t>
      </w:r>
      <w:r>
        <w:rPr>
          <w:rFonts w:ascii="Calibri" w:hAnsi="Calibri" w:cs="Calibri"/>
          <w:color w:val="1F497D"/>
          <w:sz w:val="22"/>
          <w:szCs w:val="22"/>
        </w:rPr>
        <w:t xml:space="preserve">is </w:t>
      </w:r>
      <w:r w:rsidRPr="00726ACB">
        <w:rPr>
          <w:rFonts w:ascii="Calibri" w:hAnsi="Calibri" w:cs="Calibri"/>
          <w:color w:val="1F497D"/>
          <w:sz w:val="22"/>
          <w:szCs w:val="22"/>
        </w:rPr>
        <w:t xml:space="preserve">likely to be high on prescription and </w:t>
      </w:r>
      <w:r>
        <w:rPr>
          <w:rFonts w:ascii="Calibri" w:hAnsi="Calibri" w:cs="Calibri"/>
          <w:color w:val="1F497D"/>
          <w:sz w:val="22"/>
          <w:szCs w:val="22"/>
        </w:rPr>
        <w:t xml:space="preserve">is </w:t>
      </w:r>
      <w:r w:rsidRPr="00726ACB">
        <w:rPr>
          <w:rFonts w:ascii="Calibri" w:hAnsi="Calibri" w:cs="Calibri"/>
          <w:color w:val="1F497D"/>
          <w:sz w:val="22"/>
          <w:szCs w:val="22"/>
        </w:rPr>
        <w:t>not fixed. May need prescribing for vulnerable patients. Pharmacies will not have in stock so will need to be ordered in.</w:t>
      </w:r>
    </w:p>
    <w:p w:rsidR="00726ACB" w:rsidRDefault="00726ACB" w:rsidP="00726ACB"/>
    <w:p w:rsidR="00726ACB" w:rsidRDefault="00726ACB" w:rsidP="00726ACB"/>
    <w:p w:rsidR="00726ACB" w:rsidRPr="00726ACB" w:rsidRDefault="00726ACB" w:rsidP="00726ACB">
      <w:pPr>
        <w:rPr>
          <w:rFonts w:ascii="Calibri" w:hAnsi="Calibri" w:cs="Calibri"/>
          <w:color w:val="1F497D"/>
          <w:sz w:val="22"/>
          <w:szCs w:val="22"/>
        </w:rPr>
      </w:pPr>
      <w:r w:rsidRPr="00726ACB">
        <w:rPr>
          <w:rFonts w:ascii="Calibri" w:hAnsi="Calibri" w:cs="Calibri"/>
          <w:color w:val="1F497D"/>
          <w:sz w:val="22"/>
          <w:szCs w:val="22"/>
        </w:rPr>
        <w:t xml:space="preserve">Calderdale CCG - Medicines Management </w:t>
      </w:r>
      <w:r w:rsidRPr="00726ACB">
        <w:rPr>
          <w:rFonts w:ascii="Calibri" w:hAnsi="Calibri" w:cs="Calibri"/>
          <w:color w:val="1F497D"/>
          <w:sz w:val="22"/>
          <w:szCs w:val="22"/>
        </w:rPr>
        <w:tab/>
      </w:r>
      <w:r w:rsidRPr="00726ACB">
        <w:rPr>
          <w:rFonts w:ascii="Calibri" w:hAnsi="Calibri" w:cs="Calibri"/>
          <w:color w:val="1F497D"/>
          <w:sz w:val="22"/>
          <w:szCs w:val="22"/>
        </w:rPr>
        <w:tab/>
      </w:r>
      <w:r w:rsidRPr="00726ACB">
        <w:rPr>
          <w:rFonts w:ascii="Calibri" w:hAnsi="Calibri" w:cs="Calibri"/>
          <w:color w:val="1F497D"/>
          <w:sz w:val="22"/>
          <w:szCs w:val="22"/>
        </w:rPr>
        <w:tab/>
      </w:r>
      <w:r w:rsidRPr="00726ACB">
        <w:rPr>
          <w:rFonts w:ascii="Calibri" w:hAnsi="Calibri" w:cs="Calibri"/>
          <w:color w:val="1F497D"/>
          <w:sz w:val="22"/>
          <w:szCs w:val="22"/>
        </w:rPr>
        <w:tab/>
      </w:r>
      <w:r w:rsidRPr="00726ACB">
        <w:rPr>
          <w:rFonts w:ascii="Calibri" w:hAnsi="Calibri" w:cs="Calibri"/>
          <w:color w:val="1F497D"/>
          <w:sz w:val="22"/>
          <w:szCs w:val="22"/>
        </w:rPr>
        <w:tab/>
      </w:r>
      <w:r w:rsidRPr="00726ACB">
        <w:rPr>
          <w:rFonts w:ascii="Calibri" w:hAnsi="Calibri" w:cs="Calibri"/>
          <w:color w:val="1F497D"/>
          <w:sz w:val="22"/>
          <w:szCs w:val="22"/>
        </w:rPr>
        <w:tab/>
        <w:t>1.4.20</w:t>
      </w:r>
    </w:p>
    <w:sectPr w:rsidR="00726ACB" w:rsidRPr="0072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DF" w:rsidRDefault="005043DF" w:rsidP="00726ACB">
      <w:r>
        <w:separator/>
      </w:r>
    </w:p>
  </w:endnote>
  <w:endnote w:type="continuationSeparator" w:id="0">
    <w:p w:rsidR="005043DF" w:rsidRDefault="005043DF" w:rsidP="0072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DF" w:rsidRDefault="005043DF" w:rsidP="00726ACB">
      <w:r>
        <w:separator/>
      </w:r>
    </w:p>
  </w:footnote>
  <w:footnote w:type="continuationSeparator" w:id="0">
    <w:p w:rsidR="005043DF" w:rsidRDefault="005043DF" w:rsidP="0072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41AE"/>
    <w:multiLevelType w:val="hybridMultilevel"/>
    <w:tmpl w:val="05644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329C"/>
    <w:multiLevelType w:val="hybridMultilevel"/>
    <w:tmpl w:val="89A4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CB"/>
    <w:rsid w:val="005043DF"/>
    <w:rsid w:val="00726ACB"/>
    <w:rsid w:val="009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C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ACB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6A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C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A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ACB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26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78E8-DCE1-4737-BAC5-6690EA9D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helen.foster1</dc:creator>
  <cp:lastModifiedBy>helen.foster1</cp:lastModifiedBy>
  <cp:revision>1</cp:revision>
  <dcterms:created xsi:type="dcterms:W3CDTF">2020-04-01T15:56:00Z</dcterms:created>
  <dcterms:modified xsi:type="dcterms:W3CDTF">2020-04-01T16:01:00Z</dcterms:modified>
</cp:coreProperties>
</file>